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10F1" w14:textId="77777777" w:rsidR="00172EFD" w:rsidRPr="00172EFD" w:rsidRDefault="00172EFD" w:rsidP="00172EF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FD">
        <w:rPr>
          <w:rFonts w:ascii="Times New Roman" w:hAnsi="Times New Roman" w:cs="Times New Roman"/>
          <w:b/>
          <w:sz w:val="24"/>
          <w:szCs w:val="24"/>
        </w:rPr>
        <w:t xml:space="preserve">Případová studie hodnotící vztah </w:t>
      </w:r>
      <w:proofErr w:type="spellStart"/>
      <w:r w:rsidRPr="00172EFD">
        <w:rPr>
          <w:rFonts w:ascii="Times New Roman" w:hAnsi="Times New Roman" w:cs="Times New Roman"/>
          <w:b/>
          <w:sz w:val="24"/>
          <w:szCs w:val="24"/>
        </w:rPr>
        <w:t>hyperketonémie</w:t>
      </w:r>
      <w:proofErr w:type="spellEnd"/>
      <w:r w:rsidRPr="00172EFD">
        <w:rPr>
          <w:rFonts w:ascii="Times New Roman" w:hAnsi="Times New Roman" w:cs="Times New Roman"/>
          <w:b/>
          <w:sz w:val="24"/>
          <w:szCs w:val="24"/>
        </w:rPr>
        <w:t xml:space="preserve"> ke vzniku vředů na chodidle a namoci bílé čáry </w:t>
      </w:r>
    </w:p>
    <w:p w14:paraId="36D1B21C" w14:textId="77777777" w:rsidR="00172EFD" w:rsidRPr="00172EFD" w:rsidRDefault="00172EFD" w:rsidP="00172EF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2EFD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Pr="00172EF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72EFD">
        <w:rPr>
          <w:rFonts w:ascii="Times New Roman" w:hAnsi="Times New Roman" w:cs="Times New Roman"/>
          <w:b/>
          <w:sz w:val="24"/>
          <w:szCs w:val="24"/>
        </w:rPr>
        <w:t>target</w:t>
      </w:r>
      <w:proofErr w:type="spellEnd"/>
      <w:r w:rsidRPr="00172EFD">
        <w:rPr>
          <w:rFonts w:ascii="Times New Roman" w:hAnsi="Times New Roman" w:cs="Times New Roman"/>
          <w:b/>
          <w:sz w:val="24"/>
          <w:szCs w:val="24"/>
        </w:rPr>
        <w:t xml:space="preserve"> trial </w:t>
      </w:r>
      <w:proofErr w:type="spellStart"/>
      <w:r w:rsidRPr="00172EFD">
        <w:rPr>
          <w:rFonts w:ascii="Times New Roman" w:hAnsi="Times New Roman" w:cs="Times New Roman"/>
          <w:b/>
          <w:sz w:val="24"/>
          <w:szCs w:val="24"/>
        </w:rPr>
        <w:t>approach</w:t>
      </w:r>
      <w:proofErr w:type="spellEnd"/>
      <w:r w:rsidRPr="00172EFD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172EFD">
        <w:rPr>
          <w:rFonts w:ascii="Times New Roman" w:hAnsi="Times New Roman" w:cs="Times New Roman"/>
          <w:b/>
          <w:sz w:val="24"/>
          <w:szCs w:val="24"/>
        </w:rPr>
        <w:t>evaluate</w:t>
      </w:r>
      <w:proofErr w:type="spellEnd"/>
      <w:r w:rsidRPr="00172E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EF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72EFD">
        <w:rPr>
          <w:rFonts w:ascii="Times New Roman" w:hAnsi="Times New Roman" w:cs="Times New Roman"/>
          <w:b/>
          <w:sz w:val="24"/>
          <w:szCs w:val="24"/>
        </w:rPr>
        <w:t xml:space="preserve"> role </w:t>
      </w:r>
      <w:proofErr w:type="spellStart"/>
      <w:r w:rsidRPr="00172EF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172E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EFD">
        <w:rPr>
          <w:rFonts w:ascii="Times New Roman" w:hAnsi="Times New Roman" w:cs="Times New Roman"/>
          <w:b/>
          <w:sz w:val="24"/>
          <w:szCs w:val="24"/>
        </w:rPr>
        <w:t>hyperketonemia</w:t>
      </w:r>
      <w:proofErr w:type="spellEnd"/>
      <w:r w:rsidRPr="00172EFD">
        <w:rPr>
          <w:rFonts w:ascii="Times New Roman" w:hAnsi="Times New Roman" w:cs="Times New Roman"/>
          <w:b/>
          <w:sz w:val="24"/>
          <w:szCs w:val="24"/>
        </w:rPr>
        <w:t xml:space="preserve"> in sole </w:t>
      </w:r>
      <w:proofErr w:type="spellStart"/>
      <w:r w:rsidRPr="00172EFD">
        <w:rPr>
          <w:rFonts w:ascii="Times New Roman" w:hAnsi="Times New Roman" w:cs="Times New Roman"/>
          <w:b/>
          <w:sz w:val="24"/>
          <w:szCs w:val="24"/>
        </w:rPr>
        <w:t>ulcer</w:t>
      </w:r>
      <w:proofErr w:type="spellEnd"/>
      <w:r w:rsidRPr="00172EF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72EFD">
        <w:rPr>
          <w:rFonts w:ascii="Times New Roman" w:hAnsi="Times New Roman" w:cs="Times New Roman"/>
          <w:b/>
          <w:sz w:val="24"/>
          <w:szCs w:val="24"/>
        </w:rPr>
        <w:t>white</w:t>
      </w:r>
      <w:proofErr w:type="spellEnd"/>
      <w:r w:rsidRPr="00172EFD">
        <w:rPr>
          <w:rFonts w:ascii="Times New Roman" w:hAnsi="Times New Roman" w:cs="Times New Roman"/>
          <w:b/>
          <w:sz w:val="24"/>
          <w:szCs w:val="24"/>
        </w:rPr>
        <w:t xml:space="preserve"> line </w:t>
      </w:r>
      <w:proofErr w:type="spellStart"/>
      <w:r w:rsidRPr="00172EFD">
        <w:rPr>
          <w:rFonts w:ascii="Times New Roman" w:hAnsi="Times New Roman" w:cs="Times New Roman"/>
          <w:b/>
          <w:sz w:val="24"/>
          <w:szCs w:val="24"/>
        </w:rPr>
        <w:t>hoof</w:t>
      </w:r>
      <w:proofErr w:type="spellEnd"/>
      <w:r w:rsidRPr="00172E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EFD">
        <w:rPr>
          <w:rFonts w:ascii="Times New Roman" w:hAnsi="Times New Roman" w:cs="Times New Roman"/>
          <w:b/>
          <w:sz w:val="24"/>
          <w:szCs w:val="24"/>
        </w:rPr>
        <w:t>lesion</w:t>
      </w:r>
      <w:proofErr w:type="spellEnd"/>
      <w:r w:rsidRPr="00172EFD">
        <w:rPr>
          <w:rFonts w:ascii="Times New Roman" w:hAnsi="Times New Roman" w:cs="Times New Roman"/>
          <w:b/>
          <w:sz w:val="24"/>
          <w:szCs w:val="24"/>
        </w:rPr>
        <w:t xml:space="preserve"> development</w:t>
      </w:r>
    </w:p>
    <w:p w14:paraId="25AABDBB" w14:textId="0A823D3C" w:rsidR="00172EFD" w:rsidRPr="00172EFD" w:rsidRDefault="00172EFD" w:rsidP="00172EFD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Wynands</w:t>
      </w:r>
      <w:proofErr w:type="spellEnd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EM, </w:t>
      </w:r>
      <w:proofErr w:type="spellStart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Caixeta</w:t>
      </w:r>
      <w:proofErr w:type="spellEnd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LS, </w:t>
      </w:r>
      <w:proofErr w:type="spellStart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Cramer</w:t>
      </w:r>
      <w:proofErr w:type="spellEnd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 2022. </w:t>
      </w:r>
      <w:proofErr w:type="spellStart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Using</w:t>
      </w:r>
      <w:proofErr w:type="spellEnd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target</w:t>
      </w:r>
      <w:proofErr w:type="spellEnd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trial </w:t>
      </w:r>
      <w:proofErr w:type="spellStart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approach</w:t>
      </w:r>
      <w:proofErr w:type="spellEnd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evaluate</w:t>
      </w:r>
      <w:proofErr w:type="spellEnd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role </w:t>
      </w:r>
      <w:proofErr w:type="spellStart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hyperketonemia</w:t>
      </w:r>
      <w:proofErr w:type="spellEnd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sole </w:t>
      </w:r>
      <w:proofErr w:type="spellStart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ulcer</w:t>
      </w:r>
      <w:proofErr w:type="spellEnd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white</w:t>
      </w:r>
      <w:proofErr w:type="spellEnd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line </w:t>
      </w:r>
      <w:proofErr w:type="spellStart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hoof</w:t>
      </w:r>
      <w:proofErr w:type="spellEnd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lesion</w:t>
      </w:r>
      <w:proofErr w:type="spellEnd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development. </w:t>
      </w:r>
      <w:proofErr w:type="spellStart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Dairy</w:t>
      </w:r>
      <w:proofErr w:type="spellEnd"/>
      <w:r w:rsidRPr="00172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Science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105. 7.</w:t>
      </w:r>
    </w:p>
    <w:p w14:paraId="223D7571" w14:textId="77777777" w:rsidR="00172EFD" w:rsidRPr="00172EFD" w:rsidRDefault="00172EFD" w:rsidP="00172E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D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172EFD">
        <w:rPr>
          <w:rFonts w:ascii="Times New Roman" w:hAnsi="Times New Roman" w:cs="Times New Roman"/>
          <w:sz w:val="24"/>
          <w:szCs w:val="24"/>
        </w:rPr>
        <w:t xml:space="preserve"> kulhání, tukový polštář chodidla, případová studie</w:t>
      </w:r>
    </w:p>
    <w:p w14:paraId="2ACF46F8" w14:textId="1728FF1E" w:rsidR="00172EFD" w:rsidRPr="00172EFD" w:rsidRDefault="00172EFD" w:rsidP="00172EF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FD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Pr="00172EFD">
        <w:rPr>
          <w:rFonts w:ascii="Times New Roman" w:hAnsi="Times New Roman" w:cs="Times New Roman"/>
          <w:bCs/>
          <w:sz w:val="24"/>
          <w:szCs w:val="24"/>
        </w:rPr>
        <w:t>https://pubmed.ncbi.nlm.nih.gov/35599034</w:t>
      </w:r>
      <w:r w:rsidRPr="00172EFD">
        <w:rPr>
          <w:rFonts w:ascii="Times New Roman" w:hAnsi="Times New Roman" w:cs="Times New Roman"/>
          <w:b/>
          <w:sz w:val="24"/>
          <w:szCs w:val="24"/>
        </w:rPr>
        <w:t>/</w:t>
      </w:r>
    </w:p>
    <w:p w14:paraId="4484C327" w14:textId="77777777" w:rsidR="00172EFD" w:rsidRPr="00172EFD" w:rsidRDefault="00172EFD" w:rsidP="00172EF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EFD">
        <w:rPr>
          <w:rFonts w:ascii="Times New Roman" w:hAnsi="Times New Roman" w:cs="Times New Roman"/>
          <w:sz w:val="24"/>
          <w:szCs w:val="24"/>
        </w:rPr>
        <w:t xml:space="preserve">Do této </w:t>
      </w:r>
      <w:proofErr w:type="spellStart"/>
      <w:r w:rsidRPr="00172EFD">
        <w:rPr>
          <w:rFonts w:ascii="Times New Roman" w:hAnsi="Times New Roman" w:cs="Times New Roman"/>
          <w:sz w:val="24"/>
          <w:szCs w:val="24"/>
        </w:rPr>
        <w:t>kohortové</w:t>
      </w:r>
      <w:proofErr w:type="spellEnd"/>
      <w:r w:rsidRPr="00172EFD">
        <w:rPr>
          <w:rFonts w:ascii="Times New Roman" w:hAnsi="Times New Roman" w:cs="Times New Roman"/>
          <w:sz w:val="24"/>
          <w:szCs w:val="24"/>
        </w:rPr>
        <w:t xml:space="preserve"> studie byly zařazeny krávy ze 7 stád mléka v Minnesotě a Wisconsinu. Cílem bylo odhadnout kauzální roli </w:t>
      </w:r>
      <w:proofErr w:type="spellStart"/>
      <w:r w:rsidRPr="00172EFD">
        <w:rPr>
          <w:rFonts w:ascii="Times New Roman" w:hAnsi="Times New Roman" w:cs="Times New Roman"/>
          <w:sz w:val="24"/>
          <w:szCs w:val="24"/>
        </w:rPr>
        <w:t>hyperketonémie</w:t>
      </w:r>
      <w:proofErr w:type="spellEnd"/>
      <w:r w:rsidRPr="00172EFD">
        <w:rPr>
          <w:rFonts w:ascii="Times New Roman" w:hAnsi="Times New Roman" w:cs="Times New Roman"/>
          <w:sz w:val="24"/>
          <w:szCs w:val="24"/>
        </w:rPr>
        <w:t xml:space="preserve"> na vznik vředu na chodidle a nemoci bílé čáry paznehtu (SUWL). Do pokusu byly zařazeny dojnice na druhé a další laktaci v době jejich otelení, přičemž jejich paznehty byly ošetřeny před porodem na konci laktace. Uvedená zvířata měla ošetřeny končetiny před otelením mezi 90 až 21 dny před otelením (n = 2 037) a po otelení mezi 21 až 150 dny po otelení (n = 1 408). Ošetření provádělo 7 </w:t>
      </w:r>
      <w:proofErr w:type="spellStart"/>
      <w:r w:rsidRPr="00172EFD">
        <w:rPr>
          <w:rFonts w:ascii="Times New Roman" w:hAnsi="Times New Roman" w:cs="Times New Roman"/>
          <w:sz w:val="24"/>
          <w:szCs w:val="24"/>
        </w:rPr>
        <w:t>paznehtářů</w:t>
      </w:r>
      <w:proofErr w:type="spellEnd"/>
      <w:r w:rsidRPr="00172EFD">
        <w:rPr>
          <w:rFonts w:ascii="Times New Roman" w:hAnsi="Times New Roman" w:cs="Times New Roman"/>
          <w:sz w:val="24"/>
          <w:szCs w:val="24"/>
        </w:rPr>
        <w:t xml:space="preserve">, kteří byli zaškoleni pro zajištění identifikace lézí a pro standardizaci záznamu lézí. </w:t>
      </w:r>
      <w:proofErr w:type="spellStart"/>
      <w:r w:rsidRPr="00172EFD">
        <w:rPr>
          <w:rFonts w:ascii="Times New Roman" w:hAnsi="Times New Roman" w:cs="Times New Roman"/>
          <w:sz w:val="24"/>
          <w:szCs w:val="24"/>
        </w:rPr>
        <w:t>Paznehtáři</w:t>
      </w:r>
      <w:proofErr w:type="spellEnd"/>
      <w:r w:rsidRPr="00172EFD">
        <w:rPr>
          <w:rFonts w:ascii="Times New Roman" w:hAnsi="Times New Roman" w:cs="Times New Roman"/>
          <w:sz w:val="24"/>
          <w:szCs w:val="24"/>
        </w:rPr>
        <w:t xml:space="preserve"> prováděli terapeutické ošetřování, diagnostiku a léčbu lézí. Po porodu byla u </w:t>
      </w:r>
      <w:proofErr w:type="spellStart"/>
      <w:r w:rsidRPr="00172EFD">
        <w:rPr>
          <w:rFonts w:ascii="Times New Roman" w:hAnsi="Times New Roman" w:cs="Times New Roman"/>
          <w:sz w:val="24"/>
          <w:szCs w:val="24"/>
        </w:rPr>
        <w:t>kráv</w:t>
      </w:r>
      <w:proofErr w:type="spellEnd"/>
      <w:r w:rsidRPr="00172EFD">
        <w:rPr>
          <w:rFonts w:ascii="Times New Roman" w:hAnsi="Times New Roman" w:cs="Times New Roman"/>
          <w:sz w:val="24"/>
          <w:szCs w:val="24"/>
        </w:rPr>
        <w:t xml:space="preserve"> mezi 3 a 16 dny z mléka jednou týdně testována </w:t>
      </w:r>
      <w:proofErr w:type="spellStart"/>
      <w:r w:rsidRPr="00172EFD">
        <w:rPr>
          <w:rFonts w:ascii="Times New Roman" w:hAnsi="Times New Roman" w:cs="Times New Roman"/>
          <w:sz w:val="24"/>
          <w:szCs w:val="24"/>
        </w:rPr>
        <w:t>hyperketonemie</w:t>
      </w:r>
      <w:proofErr w:type="spellEnd"/>
      <w:r w:rsidRPr="00172EFD">
        <w:rPr>
          <w:rFonts w:ascii="Times New Roman" w:hAnsi="Times New Roman" w:cs="Times New Roman"/>
          <w:sz w:val="24"/>
          <w:szCs w:val="24"/>
        </w:rPr>
        <w:t xml:space="preserve">, s využitím ručního </w:t>
      </w:r>
      <w:proofErr w:type="spellStart"/>
      <w:r w:rsidRPr="00172EFD">
        <w:rPr>
          <w:rFonts w:ascii="Times New Roman" w:hAnsi="Times New Roman" w:cs="Times New Roman"/>
          <w:sz w:val="24"/>
          <w:szCs w:val="24"/>
        </w:rPr>
        <w:t>ketonemetru</w:t>
      </w:r>
      <w:proofErr w:type="spellEnd"/>
      <w:r w:rsidRPr="00172EFD">
        <w:rPr>
          <w:rFonts w:ascii="Times New Roman" w:hAnsi="Times New Roman" w:cs="Times New Roman"/>
          <w:sz w:val="24"/>
          <w:szCs w:val="24"/>
        </w:rPr>
        <w:t>. Zaměstnanci farmy a výzkumní pracovníci provedli testování beta-</w:t>
      </w:r>
      <w:proofErr w:type="spellStart"/>
      <w:r w:rsidRPr="00172EFD">
        <w:rPr>
          <w:rFonts w:ascii="Times New Roman" w:hAnsi="Times New Roman" w:cs="Times New Roman"/>
          <w:sz w:val="24"/>
          <w:szCs w:val="24"/>
        </w:rPr>
        <w:t>hydroxybutyrátu</w:t>
      </w:r>
      <w:proofErr w:type="spellEnd"/>
      <w:r w:rsidRPr="00172EFD">
        <w:rPr>
          <w:rFonts w:ascii="Times New Roman" w:hAnsi="Times New Roman" w:cs="Times New Roman"/>
          <w:sz w:val="24"/>
          <w:szCs w:val="24"/>
        </w:rPr>
        <w:t xml:space="preserve"> (BHB). Krávy byly klasifikovány jako </w:t>
      </w:r>
      <w:proofErr w:type="spellStart"/>
      <w:r w:rsidRPr="00172EFD">
        <w:rPr>
          <w:rFonts w:ascii="Times New Roman" w:hAnsi="Times New Roman" w:cs="Times New Roman"/>
          <w:sz w:val="24"/>
          <w:szCs w:val="24"/>
        </w:rPr>
        <w:t>hyperketonemické</w:t>
      </w:r>
      <w:proofErr w:type="spellEnd"/>
      <w:r w:rsidRPr="00172EFD">
        <w:rPr>
          <w:rFonts w:ascii="Times New Roman" w:hAnsi="Times New Roman" w:cs="Times New Roman"/>
          <w:sz w:val="24"/>
          <w:szCs w:val="24"/>
        </w:rPr>
        <w:t xml:space="preserve"> (HYK+), pokud měly krevní BHB &gt;= 1,2 </w:t>
      </w:r>
      <w:proofErr w:type="spellStart"/>
      <w:r w:rsidRPr="00172EFD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172EFD">
        <w:rPr>
          <w:rFonts w:ascii="Times New Roman" w:hAnsi="Times New Roman" w:cs="Times New Roman"/>
          <w:sz w:val="24"/>
          <w:szCs w:val="24"/>
        </w:rPr>
        <w:t xml:space="preserve">/l nebo </w:t>
      </w:r>
      <w:proofErr w:type="spellStart"/>
      <w:r w:rsidRPr="00172EFD">
        <w:rPr>
          <w:rFonts w:ascii="Times New Roman" w:hAnsi="Times New Roman" w:cs="Times New Roman"/>
          <w:sz w:val="24"/>
          <w:szCs w:val="24"/>
        </w:rPr>
        <w:t>hyperketonémii</w:t>
      </w:r>
      <w:proofErr w:type="spellEnd"/>
      <w:r w:rsidRPr="00172EFD">
        <w:rPr>
          <w:rFonts w:ascii="Times New Roman" w:hAnsi="Times New Roman" w:cs="Times New Roman"/>
          <w:sz w:val="24"/>
          <w:szCs w:val="24"/>
        </w:rPr>
        <w:t xml:space="preserve"> negativní (HYK-), pokud krev BHB &lt;1,2 </w:t>
      </w:r>
      <w:proofErr w:type="spellStart"/>
      <w:r w:rsidRPr="00172EFD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172EFD">
        <w:rPr>
          <w:rFonts w:ascii="Times New Roman" w:hAnsi="Times New Roman" w:cs="Times New Roman"/>
          <w:sz w:val="24"/>
          <w:szCs w:val="24"/>
        </w:rPr>
        <w:t xml:space="preserve">/l. Při otelení mělo na paznehtu 15,6 % ošetřených krav lézi a 1,9 % krav mělo SUWL; proto byly krávy se SUWL vyloučeny z další analýzy (n = 38). Při korekci paznehtů po otelení mělo 25,8% ošetřených krav lézi paznehtu a 3,6% krav mělo SUWL. Nejčastější lézí byla digitální dermatitida. Incidence </w:t>
      </w:r>
      <w:proofErr w:type="spellStart"/>
      <w:r w:rsidRPr="00172EFD">
        <w:rPr>
          <w:rFonts w:ascii="Times New Roman" w:hAnsi="Times New Roman" w:cs="Times New Roman"/>
          <w:sz w:val="24"/>
          <w:szCs w:val="24"/>
        </w:rPr>
        <w:t>hyperketonémie</w:t>
      </w:r>
      <w:proofErr w:type="spellEnd"/>
      <w:r w:rsidRPr="00172EFD">
        <w:rPr>
          <w:rFonts w:ascii="Times New Roman" w:hAnsi="Times New Roman" w:cs="Times New Roman"/>
          <w:sz w:val="24"/>
          <w:szCs w:val="24"/>
        </w:rPr>
        <w:t xml:space="preserve"> u krav byla 21,1 % (421/1 999), přičemž incidence na farmách se pohybovala od 5,7 do 29,1 %. Byl sestaven víceúrovňový logistický regresní model pro pravděpodobnost SUWL při oříznutí kopyt po otelení 1 209 krav (HYK+ = 257/1 209; SUWL = 42/1,209). Šance na SUWL v HYK+ byla 0,66 (95% interval spolehlivosti: 0,29; 1,49) vyšší než u HYK-krav. U krav diagnostikovaných s lézí (digitální dermatitida, hniloba rohoviny patek, nebo jiná léze) při jejich otelení (n = 199) byla pravděpodobnost, že budou mít SUWL pro krávy HYK+, 0,43 (95% interval spolehlivosti: 0,05; 3,92) krát vyšší než u krav HYK-. Široká škála kompatibilních kauzálních odhadů naznačuje, že </w:t>
      </w:r>
      <w:proofErr w:type="spellStart"/>
      <w:r w:rsidRPr="00172EFD">
        <w:rPr>
          <w:rFonts w:ascii="Times New Roman" w:hAnsi="Times New Roman" w:cs="Times New Roman"/>
          <w:sz w:val="24"/>
          <w:szCs w:val="24"/>
        </w:rPr>
        <w:t>hyperketonémie</w:t>
      </w:r>
      <w:proofErr w:type="spellEnd"/>
      <w:r w:rsidRPr="00172EFD">
        <w:rPr>
          <w:rFonts w:ascii="Times New Roman" w:hAnsi="Times New Roman" w:cs="Times New Roman"/>
          <w:sz w:val="24"/>
          <w:szCs w:val="24"/>
        </w:rPr>
        <w:t xml:space="preserve"> má pravděpodobně omezenou roli ve vývoji SUWL. </w:t>
      </w:r>
    </w:p>
    <w:p w14:paraId="343F954C" w14:textId="77777777" w:rsidR="00172EFD" w:rsidRPr="00172EFD" w:rsidRDefault="00172EFD" w:rsidP="00172EF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4F4E31" w14:textId="5C06224B" w:rsidR="00172EFD" w:rsidRPr="00172EFD" w:rsidRDefault="00172EFD" w:rsidP="00172E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D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172EFD">
        <w:rPr>
          <w:rFonts w:ascii="Times New Roman" w:hAnsi="Times New Roman" w:cs="Times New Roman"/>
          <w:sz w:val="24"/>
          <w:szCs w:val="24"/>
        </w:rPr>
        <w:t xml:space="preserve"> doc. Dr. Ing. Zdeněk Havlíček, MENDELU, zdhav@mendelu.cz</w:t>
      </w:r>
    </w:p>
    <w:p w14:paraId="17FF1B25" w14:textId="77777777" w:rsidR="008846F9" w:rsidRPr="00172EFD" w:rsidRDefault="008846F9">
      <w:pPr>
        <w:rPr>
          <w:rFonts w:ascii="Times New Roman" w:hAnsi="Times New Roman" w:cs="Times New Roman"/>
          <w:sz w:val="24"/>
          <w:szCs w:val="24"/>
        </w:rPr>
      </w:pPr>
    </w:p>
    <w:sectPr w:rsidR="008846F9" w:rsidRPr="0017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FD"/>
    <w:rsid w:val="00172EFD"/>
    <w:rsid w:val="0088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2CD5"/>
  <w15:chartTrackingRefBased/>
  <w15:docId w15:val="{9ED0DCDA-26C5-4301-8669-A991889E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2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2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1</cp:revision>
  <dcterms:created xsi:type="dcterms:W3CDTF">2023-02-03T09:30:00Z</dcterms:created>
  <dcterms:modified xsi:type="dcterms:W3CDTF">2023-02-03T09:32:00Z</dcterms:modified>
</cp:coreProperties>
</file>