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4B88" w14:textId="33DD6AF2" w:rsidR="001D1612" w:rsidRPr="001D1612" w:rsidRDefault="001D1612" w:rsidP="001D16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1612">
        <w:rPr>
          <w:rFonts w:ascii="Times New Roman" w:hAnsi="Times New Roman" w:cs="Times New Roman"/>
          <w:b/>
          <w:bCs/>
          <w:sz w:val="24"/>
          <w:szCs w:val="24"/>
        </w:rPr>
        <w:t>Optimalizace hospodaření s vodou ve vinicích: výzvy, strategie a perspektivy</w:t>
      </w:r>
    </w:p>
    <w:p w14:paraId="631D3C94" w14:textId="505C9F4E" w:rsidR="001D1612" w:rsidRPr="001D1612" w:rsidRDefault="001D1612" w:rsidP="001D161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D1612">
        <w:rPr>
          <w:rFonts w:ascii="Times New Roman" w:hAnsi="Times New Roman" w:cs="Times New Roman"/>
          <w:b/>
          <w:bCs/>
          <w:sz w:val="24"/>
          <w:szCs w:val="24"/>
        </w:rPr>
        <w:t>Optimization</w:t>
      </w:r>
      <w:proofErr w:type="spellEnd"/>
      <w:r w:rsidRPr="001D1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1612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1D1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1612">
        <w:rPr>
          <w:rFonts w:ascii="Times New Roman" w:hAnsi="Times New Roman" w:cs="Times New Roman"/>
          <w:b/>
          <w:bCs/>
          <w:sz w:val="24"/>
          <w:szCs w:val="24"/>
        </w:rPr>
        <w:t>Vineyard</w:t>
      </w:r>
      <w:proofErr w:type="spellEnd"/>
      <w:r w:rsidRPr="001D1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1612">
        <w:rPr>
          <w:rFonts w:ascii="Times New Roman" w:hAnsi="Times New Roman" w:cs="Times New Roman"/>
          <w:b/>
          <w:bCs/>
          <w:sz w:val="24"/>
          <w:szCs w:val="24"/>
        </w:rPr>
        <w:t>Water</w:t>
      </w:r>
      <w:proofErr w:type="spellEnd"/>
      <w:r w:rsidRPr="001D1612">
        <w:rPr>
          <w:rFonts w:ascii="Times New Roman" w:hAnsi="Times New Roman" w:cs="Times New Roman"/>
          <w:b/>
          <w:bCs/>
          <w:sz w:val="24"/>
          <w:szCs w:val="24"/>
        </w:rPr>
        <w:t xml:space="preserve"> Management: </w:t>
      </w:r>
      <w:proofErr w:type="spellStart"/>
      <w:r w:rsidRPr="001D1612">
        <w:rPr>
          <w:rFonts w:ascii="Times New Roman" w:hAnsi="Times New Roman" w:cs="Times New Roman"/>
          <w:b/>
          <w:bCs/>
          <w:sz w:val="24"/>
          <w:szCs w:val="24"/>
        </w:rPr>
        <w:t>Challenges</w:t>
      </w:r>
      <w:proofErr w:type="spellEnd"/>
      <w:r w:rsidRPr="001D161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D1612">
        <w:rPr>
          <w:rFonts w:ascii="Times New Roman" w:hAnsi="Times New Roman" w:cs="Times New Roman"/>
          <w:b/>
          <w:bCs/>
          <w:sz w:val="24"/>
          <w:szCs w:val="24"/>
        </w:rPr>
        <w:t>Strategies</w:t>
      </w:r>
      <w:proofErr w:type="spellEnd"/>
      <w:r w:rsidRPr="001D1612">
        <w:rPr>
          <w:rFonts w:ascii="Times New Roman" w:hAnsi="Times New Roman" w:cs="Times New Roman"/>
          <w:b/>
          <w:bCs/>
          <w:sz w:val="24"/>
          <w:szCs w:val="24"/>
        </w:rPr>
        <w:t xml:space="preserve">, and </w:t>
      </w:r>
      <w:proofErr w:type="spellStart"/>
      <w:r w:rsidRPr="001D1612">
        <w:rPr>
          <w:rFonts w:ascii="Times New Roman" w:hAnsi="Times New Roman" w:cs="Times New Roman"/>
          <w:b/>
          <w:bCs/>
          <w:sz w:val="24"/>
          <w:szCs w:val="24"/>
        </w:rPr>
        <w:t>Perspectives</w:t>
      </w:r>
      <w:proofErr w:type="spellEnd"/>
    </w:p>
    <w:p w14:paraId="35C72980" w14:textId="2F73F12B" w:rsidR="001D1612" w:rsidRPr="001D1612" w:rsidRDefault="001D1612" w:rsidP="001D16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D1612">
        <w:rPr>
          <w:rFonts w:ascii="Times New Roman" w:hAnsi="Times New Roman" w:cs="Times New Roman"/>
          <w:sz w:val="24"/>
          <w:szCs w:val="24"/>
        </w:rPr>
        <w:t>Mirás-Avalos</w:t>
      </w:r>
      <w:proofErr w:type="spellEnd"/>
      <w:r w:rsidRPr="001D1612">
        <w:rPr>
          <w:rFonts w:ascii="Times New Roman" w:hAnsi="Times New Roman" w:cs="Times New Roman"/>
          <w:sz w:val="24"/>
          <w:szCs w:val="24"/>
        </w:rPr>
        <w:t xml:space="preserve">, J.M.; </w:t>
      </w:r>
      <w:proofErr w:type="spellStart"/>
      <w:r w:rsidRPr="001D1612">
        <w:rPr>
          <w:rFonts w:ascii="Times New Roman" w:hAnsi="Times New Roman" w:cs="Times New Roman"/>
          <w:sz w:val="24"/>
          <w:szCs w:val="24"/>
        </w:rPr>
        <w:t>Araujo</w:t>
      </w:r>
      <w:proofErr w:type="spellEnd"/>
      <w:r w:rsidRPr="001D1612">
        <w:rPr>
          <w:rFonts w:ascii="Times New Roman" w:hAnsi="Times New Roman" w:cs="Times New Roman"/>
          <w:sz w:val="24"/>
          <w:szCs w:val="24"/>
        </w:rPr>
        <w:t xml:space="preserve">, E.S. </w:t>
      </w:r>
      <w:proofErr w:type="spellStart"/>
      <w:r w:rsidRPr="001D1612">
        <w:rPr>
          <w:rFonts w:ascii="Times New Roman" w:hAnsi="Times New Roman" w:cs="Times New Roman"/>
          <w:sz w:val="24"/>
          <w:szCs w:val="24"/>
        </w:rPr>
        <w:t>Optimization</w:t>
      </w:r>
      <w:proofErr w:type="spellEnd"/>
      <w:r w:rsidRPr="001D1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1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D1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12">
        <w:rPr>
          <w:rFonts w:ascii="Times New Roman" w:hAnsi="Times New Roman" w:cs="Times New Roman"/>
          <w:sz w:val="24"/>
          <w:szCs w:val="24"/>
        </w:rPr>
        <w:t>Vineyard</w:t>
      </w:r>
      <w:proofErr w:type="spellEnd"/>
      <w:r w:rsidRPr="001D1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12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1D1612">
        <w:rPr>
          <w:rFonts w:ascii="Times New Roman" w:hAnsi="Times New Roman" w:cs="Times New Roman"/>
          <w:sz w:val="24"/>
          <w:szCs w:val="24"/>
        </w:rPr>
        <w:t xml:space="preserve"> Management: </w:t>
      </w:r>
      <w:proofErr w:type="spellStart"/>
      <w:r w:rsidRPr="001D1612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1D16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612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1D1612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1D1612">
        <w:rPr>
          <w:rFonts w:ascii="Times New Roman" w:hAnsi="Times New Roman" w:cs="Times New Roman"/>
          <w:sz w:val="24"/>
          <w:szCs w:val="24"/>
        </w:rPr>
        <w:t>Perspectives</w:t>
      </w:r>
      <w:proofErr w:type="spellEnd"/>
      <w:r w:rsidRPr="001D16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612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1D1612">
        <w:rPr>
          <w:rFonts w:ascii="Times New Roman" w:hAnsi="Times New Roman" w:cs="Times New Roman"/>
          <w:sz w:val="24"/>
          <w:szCs w:val="24"/>
        </w:rPr>
        <w:t xml:space="preserve"> 2021, 13, 746.</w:t>
      </w:r>
    </w:p>
    <w:p w14:paraId="0E7A4C56" w14:textId="69144127" w:rsidR="001D1612" w:rsidRPr="001D1612" w:rsidRDefault="001D1612" w:rsidP="001D1612">
      <w:pPr>
        <w:rPr>
          <w:rFonts w:ascii="Times New Roman" w:hAnsi="Times New Roman" w:cs="Times New Roman"/>
          <w:sz w:val="24"/>
          <w:szCs w:val="24"/>
        </w:rPr>
      </w:pPr>
      <w:r w:rsidRPr="001D1612">
        <w:rPr>
          <w:rFonts w:ascii="Times New Roman" w:hAnsi="Times New Roman" w:cs="Times New Roman"/>
          <w:b/>
          <w:bCs/>
          <w:sz w:val="24"/>
          <w:szCs w:val="24"/>
        </w:rPr>
        <w:t>Klíčová slova:</w:t>
      </w:r>
      <w:r w:rsidRPr="001D1612">
        <w:rPr>
          <w:rFonts w:ascii="Times New Roman" w:hAnsi="Times New Roman" w:cs="Times New Roman"/>
          <w:sz w:val="24"/>
          <w:szCs w:val="24"/>
        </w:rPr>
        <w:t xml:space="preserve"> klimatické změny; sucho; zavlažování; dálkový průzkum Země; </w:t>
      </w:r>
      <w:proofErr w:type="spellStart"/>
      <w:r w:rsidRPr="001D1612">
        <w:rPr>
          <w:rFonts w:ascii="Times New Roman" w:hAnsi="Times New Roman" w:cs="Times New Roman"/>
          <w:sz w:val="24"/>
          <w:szCs w:val="24"/>
        </w:rPr>
        <w:t>Vitis</w:t>
      </w:r>
      <w:proofErr w:type="spellEnd"/>
      <w:r w:rsidRPr="001D1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612">
        <w:rPr>
          <w:rFonts w:ascii="Times New Roman" w:hAnsi="Times New Roman" w:cs="Times New Roman"/>
          <w:sz w:val="24"/>
          <w:szCs w:val="24"/>
        </w:rPr>
        <w:t>vinifera</w:t>
      </w:r>
      <w:proofErr w:type="spellEnd"/>
      <w:r w:rsidRPr="001D1612">
        <w:rPr>
          <w:rFonts w:ascii="Times New Roman" w:hAnsi="Times New Roman" w:cs="Times New Roman"/>
          <w:sz w:val="24"/>
          <w:szCs w:val="24"/>
        </w:rPr>
        <w:t xml:space="preserve"> (L.); víno</w:t>
      </w:r>
    </w:p>
    <w:p w14:paraId="1BAB9096" w14:textId="4914560D" w:rsidR="001D1612" w:rsidRPr="001D1612" w:rsidRDefault="001D1612" w:rsidP="001D1612">
      <w:pPr>
        <w:rPr>
          <w:rFonts w:ascii="Times New Roman" w:hAnsi="Times New Roman" w:cs="Times New Roman"/>
          <w:sz w:val="24"/>
          <w:szCs w:val="24"/>
        </w:rPr>
      </w:pPr>
      <w:r w:rsidRPr="001D1612">
        <w:rPr>
          <w:rFonts w:ascii="Times New Roman" w:hAnsi="Times New Roman" w:cs="Times New Roman"/>
          <w:b/>
          <w:bCs/>
          <w:sz w:val="24"/>
          <w:szCs w:val="24"/>
        </w:rPr>
        <w:t>Dostupné z:</w:t>
      </w:r>
      <w:r w:rsidRPr="001D1612">
        <w:rPr>
          <w:rFonts w:ascii="Times New Roman" w:hAnsi="Times New Roman" w:cs="Times New Roman"/>
          <w:sz w:val="24"/>
          <w:szCs w:val="24"/>
        </w:rPr>
        <w:t xml:space="preserve"> https://doi.org/10.3390/w13060746</w:t>
      </w:r>
    </w:p>
    <w:p w14:paraId="1FD69918" w14:textId="77777777" w:rsidR="001D1612" w:rsidRPr="001D1612" w:rsidRDefault="001D1612" w:rsidP="001D1612">
      <w:pPr>
        <w:jc w:val="both"/>
        <w:rPr>
          <w:rFonts w:ascii="Times New Roman" w:hAnsi="Times New Roman" w:cs="Times New Roman"/>
          <w:sz w:val="24"/>
          <w:szCs w:val="24"/>
        </w:rPr>
      </w:pPr>
      <w:r w:rsidRPr="001D1612">
        <w:rPr>
          <w:rFonts w:ascii="Times New Roman" w:hAnsi="Times New Roman" w:cs="Times New Roman"/>
          <w:sz w:val="24"/>
          <w:szCs w:val="24"/>
        </w:rPr>
        <w:t>Rostoucí nedostatek vody vycházející z globálních změn klimatu ovlivňuje v celosvětovém měřítku celkovou produkci, kvalitu i ekonomickou efektivitu vinohradnictví. Prognózy klimatických změn naznačují pro nadcházející desetiletí rostoucí trend v oteplování, prohlubujících se srážkových deficitech i delších periodách sucha. V souvislosti s těmito avízovanými změnami je v posledních letech věnována stále větší pozornost výzkumu zaměřenému na hodnocení dopadů vodního stresu na růst révy vinné. Výrazným vývojem prochází také technologie a závlahové systémy, jejichž hlavní úloha spočívá v optimalizaci pěstitelských podmínek a zmírnění negativních dopadů sucha. Holistický přístup k tématice optimalizace hospodaření s vodou ve vinicích, nebyl od počátku 21. století uspokojivě řešen. Pozornost je aktuálně věnována řešení souvisejících témat, jako je zavlažování a změny fyziologie keřů révy i bobulí v hroznech, v důsledku vodního stresu. Neefektivní využívání závlahové vody ve vinohradnictví může ohrozit environmentální udržitelnost této plodiny. Navíc se předpokládá, že se dostupnost závlahové vody s vazbou na klimatické změny sníží, takže zavlažování nemusí být v budoucnu povoleno nebo bude přísně omezeno.</w:t>
      </w:r>
    </w:p>
    <w:p w14:paraId="06BBF5F4" w14:textId="77777777" w:rsidR="001D1612" w:rsidRPr="001D1612" w:rsidRDefault="001D1612" w:rsidP="001D1612">
      <w:pPr>
        <w:jc w:val="both"/>
        <w:rPr>
          <w:rFonts w:ascii="Times New Roman" w:hAnsi="Times New Roman" w:cs="Times New Roman"/>
          <w:sz w:val="24"/>
          <w:szCs w:val="24"/>
        </w:rPr>
      </w:pPr>
      <w:r w:rsidRPr="001D1612">
        <w:rPr>
          <w:rFonts w:ascii="Times New Roman" w:hAnsi="Times New Roman" w:cs="Times New Roman"/>
          <w:sz w:val="24"/>
          <w:szCs w:val="24"/>
        </w:rPr>
        <w:t xml:space="preserve">Příspěvek komplexně popisuje problematiku nejnovějších metod a přístupů vedoucích k možnostem využití vody u révy vinné a vytváří tak rámec pro přijímání řízených rozhodnutí a optimalizaci hospodaření s vodou ve vinicích. V příspěvku jsou popsány účinky vodního stresu na vegetativní růst, výnos a kvalitu hroznů. Vodní stres obecně vede k širokému spektru účinků, které však závisí na vývojovém stadiu révy vinné. Ovlivňuje iniciaci a diferenciaci květních základů, působí na růst letorostů a listů s přesahem ke zdravotnímu stavu keřů. Pozornost je věnována také přehledu interakcí vody s jinými biotickými a abiotickými stresory, které mohou modifikovat reakci révy vinné. Tyto interakce souvisejí s fyziologickými a molekulárními změnami, činností průduchů, se snížením intenzity fotosyntézy, metabolismem sacharidů, </w:t>
      </w:r>
      <w:proofErr w:type="spellStart"/>
      <w:r w:rsidRPr="001D1612">
        <w:rPr>
          <w:rFonts w:ascii="Times New Roman" w:hAnsi="Times New Roman" w:cs="Times New Roman"/>
          <w:sz w:val="24"/>
          <w:szCs w:val="24"/>
        </w:rPr>
        <w:t>fytohormonální</w:t>
      </w:r>
      <w:proofErr w:type="spellEnd"/>
      <w:r w:rsidRPr="001D1612">
        <w:rPr>
          <w:rFonts w:ascii="Times New Roman" w:hAnsi="Times New Roman" w:cs="Times New Roman"/>
          <w:sz w:val="24"/>
          <w:szCs w:val="24"/>
        </w:rPr>
        <w:t xml:space="preserve"> regulací atd.  V příspěvku jsou rovněž popsány hlavní nástroje pro hodnocení stavu vody u révy vinné, které jsou systematicky rozděleny na metody nepřímé (měření půdní vlhkosti a evapotranspirace) a přímé (vizuální hodnocení, hodnocení vodního potenciálu, listového turgoru aj.). Příspěvek zahrnuje také přehled krátkodobých a dlouhodobých postupů řízení pro maximalizaci účinnosti využívání vody ve vinicích, s hlavním důrazem na zavlažování a nové perspektivní technologie. Patří mezi ně použití rostlinného materiálu odolného vůči suchu (podnože, odrůdy), nebo perspektivní metody obhospodařování půdy s uplatněním mulčovacích materiálů. Příspěvek uzavírá přehled nových technologií pro zlepšení hospodaření s vodou na vinici: modely, proximální a dálkový průzkum Země.</w:t>
      </w:r>
    </w:p>
    <w:p w14:paraId="2518DAD9" w14:textId="77777777" w:rsidR="001D1612" w:rsidRPr="001D1612" w:rsidRDefault="001D1612" w:rsidP="001D1612">
      <w:pPr>
        <w:rPr>
          <w:rFonts w:ascii="Times New Roman" w:hAnsi="Times New Roman" w:cs="Times New Roman"/>
          <w:sz w:val="24"/>
          <w:szCs w:val="24"/>
        </w:rPr>
      </w:pPr>
    </w:p>
    <w:p w14:paraId="459079E5" w14:textId="77777777" w:rsidR="001D1612" w:rsidRPr="001D1612" w:rsidRDefault="001D1612" w:rsidP="001D1612">
      <w:pPr>
        <w:rPr>
          <w:rFonts w:ascii="Times New Roman" w:hAnsi="Times New Roman" w:cs="Times New Roman"/>
          <w:sz w:val="24"/>
          <w:szCs w:val="24"/>
        </w:rPr>
      </w:pPr>
      <w:r w:rsidRPr="001D1612"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 w:rsidRPr="001D1612">
        <w:rPr>
          <w:rFonts w:ascii="Times New Roman" w:hAnsi="Times New Roman" w:cs="Times New Roman"/>
          <w:sz w:val="24"/>
          <w:szCs w:val="24"/>
        </w:rPr>
        <w:t xml:space="preserve"> prof. Ing. Patrik Burg, Ph.D., Ústav zahradnické techniky, Zahradnická fakulta, Mendelova univerzita v Brně, Valtická 337, 691 44 Lednice, patrik.burg@seznam.cz </w:t>
      </w:r>
    </w:p>
    <w:sectPr w:rsidR="001D1612" w:rsidRPr="001D1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07052"/>
    <w:multiLevelType w:val="hybridMultilevel"/>
    <w:tmpl w:val="7A48A240"/>
    <w:lvl w:ilvl="0" w:tplc="63B2104C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E6436"/>
    <w:multiLevelType w:val="hybridMultilevel"/>
    <w:tmpl w:val="6394855C"/>
    <w:lvl w:ilvl="0" w:tplc="0F2211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12"/>
    <w:rsid w:val="001D1612"/>
    <w:rsid w:val="002B5558"/>
    <w:rsid w:val="00A5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A0C0"/>
  <w15:chartTrackingRefBased/>
  <w15:docId w15:val="{0560683A-3BDB-48DE-BE6F-B59E16E4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1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499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Lukáčová</dc:creator>
  <cp:keywords/>
  <dc:description/>
  <cp:lastModifiedBy>Kateřina Lukáčová</cp:lastModifiedBy>
  <cp:revision>2</cp:revision>
  <dcterms:created xsi:type="dcterms:W3CDTF">2021-06-10T08:30:00Z</dcterms:created>
  <dcterms:modified xsi:type="dcterms:W3CDTF">2021-12-16T17:12:00Z</dcterms:modified>
</cp:coreProperties>
</file>