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4EBAA" w14:textId="77777777" w:rsidR="00D13DF6" w:rsidRPr="00DE3493" w:rsidRDefault="00DE3493">
      <w:pPr>
        <w:pStyle w:val="Nadpis3"/>
        <w:rPr>
          <w:rFonts w:ascii="Times New Roman" w:hAnsi="Times New Roman" w:cs="Times New Roman"/>
          <w:sz w:val="24"/>
          <w:szCs w:val="24"/>
        </w:rPr>
      </w:pPr>
      <w:bookmarkStart w:id="0" w:name="_iqypawk9q19q" w:colFirst="0" w:colLast="0"/>
      <w:bookmarkEnd w:id="0"/>
      <w:r w:rsidRPr="00DE3493">
        <w:rPr>
          <w:rFonts w:ascii="Times New Roman" w:hAnsi="Times New Roman" w:cs="Times New Roman"/>
          <w:sz w:val="24"/>
          <w:szCs w:val="24"/>
        </w:rPr>
        <w:t>Předpověď fosforu a výnosu brambor pomocí aktivních a pasivních senzorů</w:t>
      </w:r>
    </w:p>
    <w:p w14:paraId="4304EBAB" w14:textId="77777777" w:rsidR="00D13DF6" w:rsidRPr="00DE3493" w:rsidRDefault="00DE3493">
      <w:pPr>
        <w:pStyle w:val="Nadpis3"/>
        <w:rPr>
          <w:rFonts w:ascii="Times New Roman" w:hAnsi="Times New Roman" w:cs="Times New Roman"/>
          <w:sz w:val="24"/>
          <w:szCs w:val="24"/>
        </w:rPr>
      </w:pPr>
      <w:bookmarkStart w:id="1" w:name="_ton2rr2n95g5" w:colFirst="0" w:colLast="0"/>
      <w:bookmarkEnd w:id="1"/>
      <w:proofErr w:type="spellStart"/>
      <w:r w:rsidRPr="00DE3493">
        <w:rPr>
          <w:rFonts w:ascii="Times New Roman" w:hAnsi="Times New Roman" w:cs="Times New Roman"/>
          <w:sz w:val="24"/>
          <w:szCs w:val="24"/>
        </w:rPr>
        <w:t>Predicting</w:t>
      </w:r>
      <w:proofErr w:type="spellEnd"/>
      <w:r w:rsidRPr="00DE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</w:rPr>
        <w:t>Phosphorus</w:t>
      </w:r>
      <w:proofErr w:type="spellEnd"/>
      <w:r w:rsidRPr="00DE349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E3493">
        <w:rPr>
          <w:rFonts w:ascii="Times New Roman" w:hAnsi="Times New Roman" w:cs="Times New Roman"/>
          <w:sz w:val="24"/>
          <w:szCs w:val="24"/>
        </w:rPr>
        <w:t>Potato</w:t>
      </w:r>
      <w:proofErr w:type="spellEnd"/>
      <w:r w:rsidRPr="00DE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</w:rPr>
        <w:t>Yield</w:t>
      </w:r>
      <w:proofErr w:type="spellEnd"/>
      <w:r w:rsidRPr="00DE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</w:rPr>
        <w:t>Using</w:t>
      </w:r>
      <w:proofErr w:type="spellEnd"/>
      <w:r w:rsidRPr="00DE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</w:rPr>
        <w:t>Active</w:t>
      </w:r>
      <w:proofErr w:type="spellEnd"/>
      <w:r w:rsidRPr="00DE3493"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 w:rsidRPr="00DE3493">
        <w:rPr>
          <w:rFonts w:ascii="Times New Roman" w:hAnsi="Times New Roman" w:cs="Times New Roman"/>
          <w:sz w:val="24"/>
          <w:szCs w:val="24"/>
        </w:rPr>
        <w:t>Passive</w:t>
      </w:r>
      <w:proofErr w:type="spellEnd"/>
      <w:r w:rsidRPr="00DE349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</w:rPr>
        <w:t>Sensors</w:t>
      </w:r>
      <w:proofErr w:type="spellEnd"/>
    </w:p>
    <w:p w14:paraId="4304EBAC" w14:textId="77777777" w:rsidR="00D13DF6" w:rsidRPr="00DE3493" w:rsidRDefault="00D13DF6">
      <w:pPr>
        <w:rPr>
          <w:rFonts w:ascii="Times New Roman" w:hAnsi="Times New Roman" w:cs="Times New Roman"/>
          <w:sz w:val="24"/>
          <w:szCs w:val="24"/>
        </w:rPr>
      </w:pPr>
    </w:p>
    <w:p w14:paraId="4304EBAD" w14:textId="4AE2DA4F" w:rsidR="00D13DF6" w:rsidRPr="00DE3493" w:rsidRDefault="00DE3493">
      <w:pPr>
        <w:rPr>
          <w:rFonts w:ascii="Times New Roman" w:hAnsi="Times New Roman" w:cs="Times New Roman"/>
          <w:sz w:val="24"/>
          <w:szCs w:val="24"/>
          <w:highlight w:val="white"/>
        </w:rPr>
      </w:pP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Jasim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, A.;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Zaeen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, A.;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Sharma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, L.K.; Bali, S.K.;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Wang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, C.;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Buzza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, A.;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Alyokhin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, A.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Predicting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Phosphorus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and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Potato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Yield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Using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Active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and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Passive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Sensors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. </w:t>
      </w:r>
      <w:proofErr w:type="spellStart"/>
      <w:r w:rsidRPr="00DE3493">
        <w:rPr>
          <w:rFonts w:ascii="Times New Roman" w:hAnsi="Times New Roman" w:cs="Times New Roman"/>
          <w:i/>
          <w:sz w:val="24"/>
          <w:szCs w:val="24"/>
          <w:highlight w:val="white"/>
        </w:rPr>
        <w:t>Agriculture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DE3493">
        <w:rPr>
          <w:rFonts w:ascii="Times New Roman" w:hAnsi="Times New Roman" w:cs="Times New Roman"/>
          <w:b/>
          <w:sz w:val="24"/>
          <w:szCs w:val="24"/>
          <w:highlight w:val="white"/>
        </w:rPr>
        <w:t>2020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, </w:t>
      </w:r>
      <w:r w:rsidRPr="00DE3493">
        <w:rPr>
          <w:rFonts w:ascii="Times New Roman" w:hAnsi="Times New Roman" w:cs="Times New Roman"/>
          <w:i/>
          <w:sz w:val="24"/>
          <w:szCs w:val="24"/>
          <w:highlight w:val="white"/>
        </w:rPr>
        <w:t>10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, 564. </w:t>
      </w:r>
    </w:p>
    <w:p w14:paraId="4304EBAE" w14:textId="77777777" w:rsidR="00D13DF6" w:rsidRPr="00DE3493" w:rsidRDefault="00D13DF6">
      <w:pPr>
        <w:rPr>
          <w:rFonts w:ascii="Times New Roman" w:hAnsi="Times New Roman" w:cs="Times New Roman"/>
          <w:sz w:val="24"/>
          <w:szCs w:val="24"/>
          <w:highlight w:val="white"/>
        </w:rPr>
      </w:pPr>
    </w:p>
    <w:p w14:paraId="4304EBAF" w14:textId="77777777" w:rsidR="00D13DF6" w:rsidRPr="00DE3493" w:rsidRDefault="00DE3493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DE3493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Klíčová slova: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Solanum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tuberosum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L.; kruhový senzor; senzor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GreenSeeker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>; bezpilotní letadlo; celkový výnos brambor; příjem fosforu</w:t>
      </w:r>
    </w:p>
    <w:p w14:paraId="4304EBB0" w14:textId="77777777" w:rsidR="00D13DF6" w:rsidRPr="00DE3493" w:rsidRDefault="00D13DF6">
      <w:pPr>
        <w:rPr>
          <w:rFonts w:ascii="Times New Roman" w:hAnsi="Times New Roman" w:cs="Times New Roman"/>
          <w:sz w:val="24"/>
          <w:szCs w:val="24"/>
          <w:highlight w:val="white"/>
        </w:rPr>
      </w:pPr>
    </w:p>
    <w:p w14:paraId="4304EBB1" w14:textId="0D425789" w:rsidR="00D13DF6" w:rsidRPr="00DE3493" w:rsidRDefault="00DE3493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DE3493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Dostupné z</w:t>
      </w:r>
      <w:r w:rsidRPr="00DE3493">
        <w:rPr>
          <w:rFonts w:ascii="Times New Roman" w:hAnsi="Times New Roman" w:cs="Times New Roman"/>
          <w:b/>
          <w:bCs/>
          <w:sz w:val="24"/>
          <w:szCs w:val="24"/>
          <w:highlight w:val="white"/>
        </w:rPr>
        <w:t>: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>https://www.mdpi.c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>om/2077-0472/10/11/564</w:t>
      </w:r>
    </w:p>
    <w:p w14:paraId="4304EBB2" w14:textId="77777777" w:rsidR="00D13DF6" w:rsidRPr="00DE3493" w:rsidRDefault="00D13DF6">
      <w:pPr>
        <w:rPr>
          <w:rFonts w:ascii="Times New Roman" w:hAnsi="Times New Roman" w:cs="Times New Roman"/>
          <w:sz w:val="24"/>
          <w:szCs w:val="24"/>
          <w:highlight w:val="white"/>
        </w:rPr>
      </w:pPr>
    </w:p>
    <w:p w14:paraId="4304EBB3" w14:textId="77777777" w:rsidR="00D13DF6" w:rsidRPr="00DE3493" w:rsidRDefault="00DE3493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Ke zlepšení produkce brambor lze využít dálkový průzkum. Nové technologie by mohly být užitečné při snižování potenciální kontaminace půdy a vody v důsledku nadměrného hnojení zemědělských plodin. 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ab/>
      </w:r>
    </w:p>
    <w:p w14:paraId="4304EBB4" w14:textId="77777777" w:rsidR="00D13DF6" w:rsidRPr="00DE3493" w:rsidRDefault="00D13DF6">
      <w:pPr>
        <w:rPr>
          <w:rFonts w:ascii="Times New Roman" w:hAnsi="Times New Roman" w:cs="Times New Roman"/>
          <w:sz w:val="24"/>
          <w:szCs w:val="24"/>
          <w:highlight w:val="white"/>
        </w:rPr>
      </w:pPr>
    </w:p>
    <w:p w14:paraId="4304EBB5" w14:textId="77777777" w:rsidR="00D13DF6" w:rsidRPr="00DE3493" w:rsidRDefault="00DE3493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DE3493">
        <w:rPr>
          <w:rFonts w:ascii="Times New Roman" w:hAnsi="Times New Roman" w:cs="Times New Roman"/>
          <w:sz w:val="24"/>
          <w:szCs w:val="24"/>
          <w:highlight w:val="white"/>
        </w:rPr>
        <w:t>Cílem studie bylo vyhodnotit uži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>tečnost aktivních senzorů (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Crop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Circle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™,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Holland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Scientific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, Inc., Lincoln, NE, USA a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GreenSeeker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™,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Trimble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Navigation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Limited,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Sunnyvale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>, CA, USA) a pasivních senzorů (multispektrální snímky pomocí bezpilotních letadel (UAV)) při předpovídání příjmu fosfo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ru a celkového výnosu brambor (viz: obr. 1). </w:t>
      </w:r>
    </w:p>
    <w:p w14:paraId="4304EBB6" w14:textId="77777777" w:rsidR="00D13DF6" w:rsidRPr="00DE3493" w:rsidRDefault="00D13DF6">
      <w:pPr>
        <w:rPr>
          <w:rFonts w:ascii="Times New Roman" w:hAnsi="Times New Roman" w:cs="Times New Roman"/>
          <w:sz w:val="24"/>
          <w:szCs w:val="24"/>
          <w:highlight w:val="white"/>
        </w:rPr>
      </w:pPr>
    </w:p>
    <w:p w14:paraId="4304EBB7" w14:textId="77777777" w:rsidR="00D13DF6" w:rsidRPr="00DE3493" w:rsidRDefault="00DE3493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DE3493">
        <w:rPr>
          <w:rFonts w:ascii="Times New Roman" w:hAnsi="Times New Roman" w:cs="Times New Roman"/>
          <w:noProof/>
          <w:sz w:val="24"/>
          <w:szCs w:val="24"/>
          <w:highlight w:val="white"/>
        </w:rPr>
        <w:drawing>
          <wp:inline distT="114300" distB="114300" distL="114300" distR="114300" wp14:anchorId="4304EBBE" wp14:editId="4304EBBF">
            <wp:extent cx="5731200" cy="17145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1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04EBB8" w14:textId="77777777" w:rsidR="00D13DF6" w:rsidRPr="00DE3493" w:rsidRDefault="00DE3493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Obrázek 1: Zleva doprava aktivní senzory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Crop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Circle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™, aktivní senzory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GreenSeeker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>™, UAV na poli</w:t>
      </w:r>
    </w:p>
    <w:p w14:paraId="4304EBB9" w14:textId="77777777" w:rsidR="00D13DF6" w:rsidRPr="00DE3493" w:rsidRDefault="00D13DF6">
      <w:pPr>
        <w:rPr>
          <w:rFonts w:ascii="Times New Roman" w:hAnsi="Times New Roman" w:cs="Times New Roman"/>
          <w:sz w:val="24"/>
          <w:szCs w:val="24"/>
          <w:highlight w:val="white"/>
        </w:rPr>
      </w:pPr>
    </w:p>
    <w:p w14:paraId="4304EBBA" w14:textId="77777777" w:rsidR="00D13DF6" w:rsidRPr="00DE3493" w:rsidRDefault="00DE3493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DE3493">
        <w:rPr>
          <w:rFonts w:ascii="Times New Roman" w:hAnsi="Times New Roman" w:cs="Times New Roman"/>
          <w:sz w:val="24"/>
          <w:szCs w:val="24"/>
          <w:highlight w:val="white"/>
        </w:rPr>
        <w:t>Vegetační indexy (VI) a hladiny rostlinných pigmentů byly vypočteny v různých obdobích růstového cyklu brambo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>r a byly korelovány s celkovými výnosy plodin a příjmem fosforu pomocí postupného přizpůsobení vícenásobných lineárních regresních modelů. Pro pochopení vztahů a korelací mezi výnosy a aplikací fosforu je totiž třeba vyhodnotit různé lokality s různými veg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>etačními indexy a rostlinnými pigmenty. Oblast blízkého infračerveného záření hraje klíčovou roli při předpovídání fosforového zatížení díky vnitřní struktuře listů; při fosforovém zatížení se zvyšuje počet malých listových buněk ve srovnání s nestresovými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podmínkami.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ab/>
        <w:t xml:space="preserve"> </w:t>
      </w:r>
    </w:p>
    <w:p w14:paraId="4304EBBB" w14:textId="77777777" w:rsidR="00D13DF6" w:rsidRPr="00DE3493" w:rsidRDefault="00DE3493">
      <w:pPr>
        <w:rPr>
          <w:rFonts w:ascii="Times New Roman" w:hAnsi="Times New Roman" w:cs="Times New Roman"/>
          <w:sz w:val="24"/>
          <w:szCs w:val="24"/>
          <w:highlight w:val="white"/>
        </w:rPr>
      </w:pPr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Výsledky studie ukazují, že data získaná přístroji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Crop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Circle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™ a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GreenSeeker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™ měla nízkou výpovědní hodnotu pro výnosy brambor, zejména na počátku sezóny.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Crop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Circle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™ si dle studie vedl lépe než </w:t>
      </w:r>
      <w:proofErr w:type="spellStart"/>
      <w:r w:rsidRPr="00DE3493">
        <w:rPr>
          <w:rFonts w:ascii="Times New Roman" w:hAnsi="Times New Roman" w:cs="Times New Roman"/>
          <w:sz w:val="24"/>
          <w:szCs w:val="24"/>
          <w:highlight w:val="white"/>
        </w:rPr>
        <w:t>GreenSeeker</w:t>
      </w:r>
      <w:proofErr w:type="spellEnd"/>
      <w:r w:rsidRPr="00DE3493">
        <w:rPr>
          <w:rFonts w:ascii="Times New Roman" w:hAnsi="Times New Roman" w:cs="Times New Roman"/>
          <w:sz w:val="24"/>
          <w:szCs w:val="24"/>
          <w:highlight w:val="white"/>
        </w:rPr>
        <w:t>™ při předpovídání příjmu fosforu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 xml:space="preserve"> rostlinami. Naproti tomu data z pasivních senzorů poskytovala dobré odhady celkových výnosů na počátku sezóny, ale korelace s příjmem fosforu byla slabá. Kombinované využití aktivních a pasivních senzorů představuje skutečnou příležitost, jak lépe hospoda</w:t>
      </w:r>
      <w:r w:rsidRPr="00DE3493">
        <w:rPr>
          <w:rFonts w:ascii="Times New Roman" w:hAnsi="Times New Roman" w:cs="Times New Roman"/>
          <w:sz w:val="24"/>
          <w:szCs w:val="24"/>
          <w:highlight w:val="white"/>
        </w:rPr>
        <w:t>řit s fosforem při pěstování brambor.</w:t>
      </w:r>
    </w:p>
    <w:p w14:paraId="4304EBBC" w14:textId="77777777" w:rsidR="00D13DF6" w:rsidRPr="00DE3493" w:rsidRDefault="00D13DF6">
      <w:pPr>
        <w:rPr>
          <w:rFonts w:ascii="Times New Roman" w:hAnsi="Times New Roman" w:cs="Times New Roman"/>
          <w:sz w:val="24"/>
          <w:szCs w:val="24"/>
          <w:highlight w:val="white"/>
        </w:rPr>
      </w:pPr>
    </w:p>
    <w:p w14:paraId="4304EBBD" w14:textId="77777777" w:rsidR="00D13DF6" w:rsidRPr="00DE3493" w:rsidRDefault="00DE3493">
      <w:pPr>
        <w:rPr>
          <w:rFonts w:ascii="Times New Roman" w:eastAsia="Arial" w:hAnsi="Times New Roman" w:cs="Times New Roman"/>
          <w:sz w:val="24"/>
          <w:szCs w:val="24"/>
          <w:highlight w:val="white"/>
        </w:rPr>
      </w:pPr>
      <w:r w:rsidRPr="00DE349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Zpracovali: </w:t>
      </w:r>
      <w:r w:rsidRPr="00DE3493">
        <w:rPr>
          <w:rFonts w:ascii="Times New Roman" w:hAnsi="Times New Roman" w:cs="Times New Roman"/>
          <w:sz w:val="24"/>
          <w:szCs w:val="24"/>
        </w:rPr>
        <w:t xml:space="preserve">Vincent </w:t>
      </w:r>
      <w:proofErr w:type="spellStart"/>
      <w:r w:rsidRPr="00DE3493">
        <w:rPr>
          <w:rFonts w:ascii="Times New Roman" w:hAnsi="Times New Roman" w:cs="Times New Roman"/>
          <w:sz w:val="24"/>
          <w:szCs w:val="24"/>
        </w:rPr>
        <w:t>Onckelet</w:t>
      </w:r>
      <w:proofErr w:type="spellEnd"/>
      <w:r w:rsidRPr="00DE3493">
        <w:rPr>
          <w:rFonts w:ascii="Times New Roman" w:hAnsi="Times New Roman" w:cs="Times New Roman"/>
          <w:sz w:val="24"/>
          <w:szCs w:val="24"/>
        </w:rPr>
        <w:t xml:space="preserve"> (Plan4all </w:t>
      </w:r>
      <w:proofErr w:type="spellStart"/>
      <w:r w:rsidRPr="00DE3493">
        <w:rPr>
          <w:rFonts w:ascii="Times New Roman" w:hAnsi="Times New Roman" w:cs="Times New Roman"/>
          <w:sz w:val="24"/>
          <w:szCs w:val="24"/>
        </w:rPr>
        <w:t>z.s</w:t>
      </w:r>
      <w:proofErr w:type="spellEnd"/>
      <w:r w:rsidRPr="00DE3493">
        <w:rPr>
          <w:rFonts w:ascii="Times New Roman" w:hAnsi="Times New Roman" w:cs="Times New Roman"/>
          <w:sz w:val="24"/>
          <w:szCs w:val="24"/>
        </w:rPr>
        <w:t xml:space="preserve">.) a Hana Kubíčková (Plan4all </w:t>
      </w:r>
      <w:proofErr w:type="spellStart"/>
      <w:r w:rsidRPr="00DE3493">
        <w:rPr>
          <w:rFonts w:ascii="Times New Roman" w:hAnsi="Times New Roman" w:cs="Times New Roman"/>
          <w:sz w:val="24"/>
          <w:szCs w:val="24"/>
        </w:rPr>
        <w:t>z.s</w:t>
      </w:r>
      <w:proofErr w:type="spellEnd"/>
      <w:r w:rsidRPr="00DE3493">
        <w:rPr>
          <w:rFonts w:ascii="Times New Roman" w:hAnsi="Times New Roman" w:cs="Times New Roman"/>
          <w:sz w:val="24"/>
          <w:szCs w:val="24"/>
        </w:rPr>
        <w:t>.)</w:t>
      </w:r>
    </w:p>
    <w:sectPr w:rsidR="00D13DF6" w:rsidRPr="00DE3493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3DF6"/>
    <w:rsid w:val="00D13DF6"/>
    <w:rsid w:val="00DE3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4EBAA"/>
  <w15:docId w15:val="{2AC980F1-A065-4D19-858C-FD50286D4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347</Words>
  <Characters>2053</Characters>
  <Application>Microsoft Office Word</Application>
  <DocSecurity>0</DocSecurity>
  <Lines>17</Lines>
  <Paragraphs>4</Paragraphs>
  <ScaleCrop>false</ScaleCrop>
  <Company/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Kateřina Lukáčová</cp:lastModifiedBy>
  <cp:revision>2</cp:revision>
  <dcterms:created xsi:type="dcterms:W3CDTF">2022-02-14T11:31:00Z</dcterms:created>
  <dcterms:modified xsi:type="dcterms:W3CDTF">2022-02-14T11:32:00Z</dcterms:modified>
</cp:coreProperties>
</file>