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BA96" w14:textId="77777777" w:rsidR="0066682F" w:rsidRPr="00924E42" w:rsidRDefault="00924E42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4E42">
        <w:rPr>
          <w:rFonts w:ascii="Times New Roman" w:hAnsi="Times New Roman" w:cs="Times New Roman"/>
          <w:b/>
          <w:sz w:val="24"/>
          <w:szCs w:val="24"/>
        </w:rPr>
        <w:t>Pravděpodobnostní odhad založený na ontologii pro hodnocení sémantické podobnosti systémů klasifikace využití půdy/půdního krytu</w:t>
      </w:r>
    </w:p>
    <w:p w14:paraId="51A9BA97" w14:textId="77777777" w:rsidR="0066682F" w:rsidRPr="00924E42" w:rsidRDefault="00924E42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4E42">
        <w:rPr>
          <w:rFonts w:ascii="Times New Roman" w:hAnsi="Times New Roman" w:cs="Times New Roman"/>
          <w:b/>
          <w:sz w:val="24"/>
          <w:szCs w:val="24"/>
        </w:rPr>
        <w:t>Ontology-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Probabilistic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Estimation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Assessing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Semantic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Similarity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Land Use/Land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Cover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4E42">
        <w:rPr>
          <w:rFonts w:ascii="Times New Roman" w:hAnsi="Times New Roman" w:cs="Times New Roman"/>
          <w:b/>
          <w:sz w:val="24"/>
          <w:szCs w:val="24"/>
        </w:rPr>
        <w:t>Classification</w:t>
      </w:r>
      <w:proofErr w:type="spellEnd"/>
      <w:r w:rsidRPr="00924E42">
        <w:rPr>
          <w:rFonts w:ascii="Times New Roman" w:hAnsi="Times New Roman" w:cs="Times New Roman"/>
          <w:b/>
          <w:sz w:val="24"/>
          <w:szCs w:val="24"/>
        </w:rPr>
        <w:t xml:space="preserve"> Systems</w:t>
      </w:r>
    </w:p>
    <w:p w14:paraId="51A9BA98" w14:textId="77777777" w:rsidR="0066682F" w:rsidRPr="00924E42" w:rsidRDefault="0066682F">
      <w:pPr>
        <w:rPr>
          <w:rFonts w:ascii="Times New Roman" w:hAnsi="Times New Roman" w:cs="Times New Roman"/>
          <w:sz w:val="24"/>
          <w:szCs w:val="24"/>
        </w:rPr>
      </w:pPr>
    </w:p>
    <w:p w14:paraId="51A9BA99" w14:textId="5D36971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Zhou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X.;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Xie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, X.;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Xue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, Y.;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Xue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>, B. Ontology-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Based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Probabilistic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Estimation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for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Assessing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Semantic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Similarity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Land Use/Land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Cover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Classification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Systems. </w:t>
      </w:r>
      <w:r w:rsidRPr="00924E42">
        <w:rPr>
          <w:rFonts w:ascii="Times New Roman" w:hAnsi="Times New Roman" w:cs="Times New Roman"/>
          <w:i/>
          <w:sz w:val="24"/>
          <w:szCs w:val="24"/>
          <w:highlight w:val="white"/>
        </w:rPr>
        <w:t>Land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24E42">
        <w:rPr>
          <w:rFonts w:ascii="Times New Roman" w:hAnsi="Times New Roman" w:cs="Times New Roman"/>
          <w:b/>
          <w:sz w:val="24"/>
          <w:szCs w:val="24"/>
          <w:highlight w:val="white"/>
        </w:rPr>
        <w:t>2021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924E42">
        <w:rPr>
          <w:rFonts w:ascii="Times New Roman" w:hAnsi="Times New Roman" w:cs="Times New Roman"/>
          <w:i/>
          <w:sz w:val="24"/>
          <w:szCs w:val="24"/>
          <w:highlight w:val="white"/>
        </w:rPr>
        <w:t>10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, 920. </w:t>
      </w:r>
    </w:p>
    <w:p w14:paraId="51A9BA9A" w14:textId="77777777" w:rsidR="0066682F" w:rsidRPr="00924E42" w:rsidRDefault="0066682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A9BA9B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Klíčová slova: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ontologie; sémantická podobnost; systémy klasifikace využití půdy/pozemkového krytu</w:t>
      </w:r>
    </w:p>
    <w:p w14:paraId="51A9BA9C" w14:textId="77777777" w:rsidR="0066682F" w:rsidRPr="00924E42" w:rsidRDefault="0066682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A9BA9D" w14:textId="01859C01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Dostupné z: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>https://www.mdpi.com/2073-445X/10/9/920</w:t>
      </w:r>
    </w:p>
    <w:p w14:paraId="51A9BA9E" w14:textId="77777777" w:rsidR="0066682F" w:rsidRPr="00924E42" w:rsidRDefault="0066682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A9BA9F" w14:textId="77777777" w:rsidR="0066682F" w:rsidRPr="00924E42" w:rsidRDefault="0066682F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51A9BAA0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Využití půdy a půdního krytu (Land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Use and Land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Cover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- LULC) je důležité pro zobrazení historie a současného stavu pozorování půdy, hospodaření, analýzy půdy, monitorování stanovišť a plánování krajiny. Klasifikační mapy LULC jsou k dispozici v mnoha prostorových a časových měřítkách vytv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>ořených mnoha typy klasifikačních standardů. V současné době byly různými zeměmi, institucemi a organizacemi vytvořeny desítky klasifikačních systémů LULC.</w:t>
      </w:r>
    </w:p>
    <w:p w14:paraId="51A9BAA1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Tyto systémy klasifikace půdního krytu a jejich legendy se však liší, což ztěžuje porozumění studiím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a sdílení výsledků, a proto byly vyvinuty přístupy, jak se vypořádat se sémantickou heterogenitou. Obecně tyto přístupy postrádají doménové ontologie, což může být významnou překážkou pro implementaci těchto přístupů z hlediska hodnocení sémantické podobn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osti. V tomto článku výzkumníci navrhují ontologický přístup k hodnocení doménové podobnosti klasifikačních systémů a standardů LULC. Vyvíjejí doménové ontologie, které explicitně definují popisy a kódy různých klasifikačních systémů a standardů LULC jako 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sémantické informace, a formálně organizují tyto sémantické informace jako logická pravidla uvažování. Sémantickou podobnost termínů ve dvou různých systémech klasifikace půdního krytu pak lze vypočítat pomocí algoritmů (např.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Bayesova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algoritmu).</w:t>
      </w:r>
    </w:p>
    <w:p w14:paraId="51A9BAA2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Souhrnně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lze říci, že klasifikační systémy LULC čelí dvěma důležitým výzvám: </w:t>
      </w:r>
    </w:p>
    <w:p w14:paraId="51A9BAA3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První z nich je polysémie: pozemek může být různými klasifikačními systémy LULC definován jako různé typy LULC.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51A9BAA4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Druhým je mnohoznačnost: stejný pojem LULC může být různými klasifikačním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i systémy LULC definován odlišně. </w:t>
      </w:r>
    </w:p>
    <w:p w14:paraId="51A9BAA5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Polysémie a mnohoznačnost jsou součástí sémantické heterogenity, jejímž cílem je řešit problém záměny výrazů při zpracování přirozeného jazyka.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14:paraId="51A9BAA6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Pro vypořádání se se sémantickou heterogenitou navrhla řada prací přístupy k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sémantické harmonizaci s cílem integrovat informace a rysy z různých zdrojů do koherentního celku.</w:t>
      </w:r>
    </w:p>
    <w:p w14:paraId="51A9BAA7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>V této práci výzkumníci vyvinuli doménové ontologie, které explicitně definují popisy a kódy různých klasifikačních systémů a standardů LULC jako sémantické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informace a logická pravidla uvažování. Na základě sémantiky a pravidel použili </w:t>
      </w:r>
      <w:proofErr w:type="spellStart"/>
      <w:r w:rsidRPr="00924E42">
        <w:rPr>
          <w:rFonts w:ascii="Times New Roman" w:hAnsi="Times New Roman" w:cs="Times New Roman"/>
          <w:sz w:val="24"/>
          <w:szCs w:val="24"/>
          <w:highlight w:val="white"/>
        </w:rPr>
        <w:t>Bayesův</w:t>
      </w:r>
      <w:proofErr w:type="spellEnd"/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 algoritmus k vytvoření podmíněného pravděpodobnostního modelu pro výpočet sémantické podobnosti kategorií LULC v různých klasifikačních systémech a standardech LULC. Z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>kušenosti ukazují, že sémantickou podobnost lze efektivně měřit začleněním pravděpodobnostního modelu založeného na obsahu ontologie.</w:t>
      </w:r>
    </w:p>
    <w:p w14:paraId="51A9BAA8" w14:textId="77777777" w:rsidR="0066682F" w:rsidRPr="00924E42" w:rsidRDefault="00924E42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Existuje několik možných rozšíření tohoto výzkumu, která se zaměřují na integraci obsahu různých klasifikačních systémů a 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t xml:space="preserve">standardů LULC. Pro explicitní reprezentaci skrytých </w:t>
      </w:r>
      <w:r w:rsidRPr="00924E42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sémantických informací je třeba ještě prozkoumat fúzi různých doménových ontologií pro klasifikační systémy a standardy LULC.</w:t>
      </w:r>
    </w:p>
    <w:p w14:paraId="51A9BAA9" w14:textId="77777777" w:rsidR="0066682F" w:rsidRPr="00924E42" w:rsidRDefault="0066682F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51A9BAAA" w14:textId="77777777" w:rsidR="0066682F" w:rsidRPr="00924E42" w:rsidRDefault="0066682F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51A9BAAB" w14:textId="77777777" w:rsidR="0066682F" w:rsidRPr="00924E42" w:rsidRDefault="0066682F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51A9BAAC" w14:textId="77777777" w:rsidR="0066682F" w:rsidRPr="00924E42" w:rsidRDefault="00924E42">
      <w:pPr>
        <w:rPr>
          <w:rFonts w:ascii="Times New Roman" w:hAnsi="Times New Roman" w:cs="Times New Roman"/>
          <w:sz w:val="24"/>
          <w:szCs w:val="24"/>
        </w:rPr>
      </w:pPr>
      <w:r w:rsidRPr="00924E42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924E42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924E42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924E42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924E4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924E42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924E42">
        <w:rPr>
          <w:rFonts w:ascii="Times New Roman" w:hAnsi="Times New Roman" w:cs="Times New Roman"/>
          <w:sz w:val="24"/>
          <w:szCs w:val="24"/>
        </w:rPr>
        <w:t>z.</w:t>
      </w:r>
      <w:r w:rsidRPr="00924E4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24E42">
        <w:rPr>
          <w:rFonts w:ascii="Times New Roman" w:hAnsi="Times New Roman" w:cs="Times New Roman"/>
          <w:sz w:val="24"/>
          <w:szCs w:val="24"/>
        </w:rPr>
        <w:t>.)</w:t>
      </w:r>
    </w:p>
    <w:p w14:paraId="4B9147FB" w14:textId="77777777" w:rsidR="00924E42" w:rsidRPr="00924E42" w:rsidRDefault="00924E42">
      <w:pPr>
        <w:rPr>
          <w:rFonts w:ascii="Times New Roman" w:hAnsi="Times New Roman" w:cs="Times New Roman"/>
          <w:sz w:val="24"/>
          <w:szCs w:val="24"/>
        </w:rPr>
      </w:pPr>
    </w:p>
    <w:sectPr w:rsidR="00924E42" w:rsidRPr="00924E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2F"/>
    <w:rsid w:val="0066682F"/>
    <w:rsid w:val="009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BA96"/>
  <w15:docId w15:val="{D604E468-34C1-4B12-BFA1-89E16F2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2022-02-14T11:30:00Z</dcterms:created>
  <dcterms:modified xsi:type="dcterms:W3CDTF">2022-02-14T11:31:00Z</dcterms:modified>
</cp:coreProperties>
</file>