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BD23C" w14:textId="77777777" w:rsidR="009C7D8A" w:rsidRPr="00FA1BFE" w:rsidRDefault="00FA1BFE">
      <w:pPr>
        <w:pStyle w:val="Nadpis3"/>
        <w:rPr>
          <w:rFonts w:ascii="Times New Roman" w:hAnsi="Times New Roman" w:cs="Times New Roman"/>
          <w:sz w:val="24"/>
          <w:szCs w:val="24"/>
        </w:rPr>
      </w:pPr>
      <w:bookmarkStart w:id="0" w:name="_hrc2uor2dxh" w:colFirst="0" w:colLast="0"/>
      <w:bookmarkEnd w:id="0"/>
      <w:r w:rsidRPr="00FA1BFE">
        <w:rPr>
          <w:rFonts w:ascii="Times New Roman" w:hAnsi="Times New Roman" w:cs="Times New Roman"/>
          <w:sz w:val="24"/>
          <w:szCs w:val="24"/>
        </w:rPr>
        <w:t xml:space="preserve">Alternativní metoda pro tvorbu konzistentních map pro sledování změn půdního pokryvu: Případová studie státu </w:t>
      </w:r>
      <w:proofErr w:type="spellStart"/>
      <w:r w:rsidRPr="00FA1BFE">
        <w:rPr>
          <w:rFonts w:ascii="Times New Roman" w:hAnsi="Times New Roman" w:cs="Times New Roman"/>
          <w:sz w:val="24"/>
          <w:szCs w:val="24"/>
        </w:rPr>
        <w:t>Guerrero</w:t>
      </w:r>
      <w:proofErr w:type="spellEnd"/>
      <w:r w:rsidRPr="00FA1BFE">
        <w:rPr>
          <w:rFonts w:ascii="Times New Roman" w:hAnsi="Times New Roman" w:cs="Times New Roman"/>
          <w:sz w:val="24"/>
          <w:szCs w:val="24"/>
        </w:rPr>
        <w:t xml:space="preserve"> v Mexiku</w:t>
      </w:r>
    </w:p>
    <w:p w14:paraId="105BD23D" w14:textId="77777777" w:rsidR="009C7D8A" w:rsidRPr="00FA1BFE" w:rsidRDefault="009C7D8A">
      <w:pPr>
        <w:rPr>
          <w:rFonts w:ascii="Times New Roman" w:hAnsi="Times New Roman" w:cs="Times New Roman"/>
          <w:sz w:val="24"/>
          <w:szCs w:val="24"/>
        </w:rPr>
      </w:pPr>
    </w:p>
    <w:p w14:paraId="105BD23E" w14:textId="77777777" w:rsidR="009C7D8A" w:rsidRPr="00FA1BFE" w:rsidRDefault="00FA1BFE">
      <w:pPr>
        <w:pStyle w:val="Nadpis3"/>
        <w:keepNext w:val="0"/>
        <w:keepLines w:val="0"/>
        <w:spacing w:before="0" w:after="220" w:line="295" w:lineRule="auto"/>
        <w:rPr>
          <w:rFonts w:ascii="Times New Roman" w:hAnsi="Times New Roman" w:cs="Times New Roman"/>
          <w:sz w:val="24"/>
          <w:szCs w:val="24"/>
        </w:rPr>
      </w:pPr>
      <w:bookmarkStart w:id="1" w:name="_aood301m0cf4" w:colFirst="0" w:colLast="0"/>
      <w:bookmarkEnd w:id="1"/>
      <w:r w:rsidRPr="00FA1BFE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Pr="00FA1BFE">
        <w:rPr>
          <w:rFonts w:ascii="Times New Roman" w:hAnsi="Times New Roman" w:cs="Times New Roman"/>
          <w:sz w:val="24"/>
          <w:szCs w:val="24"/>
        </w:rPr>
        <w:t>Alternative</w:t>
      </w:r>
      <w:proofErr w:type="spellEnd"/>
      <w:r w:rsidRPr="00FA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BFE">
        <w:rPr>
          <w:rFonts w:ascii="Times New Roman" w:hAnsi="Times New Roman" w:cs="Times New Roman"/>
          <w:sz w:val="24"/>
          <w:szCs w:val="24"/>
        </w:rPr>
        <w:t>Method</w:t>
      </w:r>
      <w:proofErr w:type="spellEnd"/>
      <w:r w:rsidRPr="00FA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BF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FA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BF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A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BFE">
        <w:rPr>
          <w:rFonts w:ascii="Times New Roman" w:hAnsi="Times New Roman" w:cs="Times New Roman"/>
          <w:sz w:val="24"/>
          <w:szCs w:val="24"/>
        </w:rPr>
        <w:t>Generation</w:t>
      </w:r>
      <w:proofErr w:type="spellEnd"/>
      <w:r w:rsidRPr="00FA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BF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A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BFE">
        <w:rPr>
          <w:rFonts w:ascii="Times New Roman" w:hAnsi="Times New Roman" w:cs="Times New Roman"/>
          <w:sz w:val="24"/>
          <w:szCs w:val="24"/>
        </w:rPr>
        <w:t>Consistent</w:t>
      </w:r>
      <w:proofErr w:type="spellEnd"/>
      <w:r w:rsidRPr="00FA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BFE">
        <w:rPr>
          <w:rFonts w:ascii="Times New Roman" w:hAnsi="Times New Roman" w:cs="Times New Roman"/>
          <w:sz w:val="24"/>
          <w:szCs w:val="24"/>
        </w:rPr>
        <w:t>Mapping</w:t>
      </w:r>
      <w:proofErr w:type="spellEnd"/>
      <w:r w:rsidRPr="00FA1BFE">
        <w:rPr>
          <w:rFonts w:ascii="Times New Roman" w:hAnsi="Times New Roman" w:cs="Times New Roman"/>
          <w:sz w:val="24"/>
          <w:szCs w:val="24"/>
        </w:rPr>
        <w:t xml:space="preserve"> to Monitoring Land </w:t>
      </w:r>
      <w:proofErr w:type="spellStart"/>
      <w:r w:rsidRPr="00FA1BFE">
        <w:rPr>
          <w:rFonts w:ascii="Times New Roman" w:hAnsi="Times New Roman" w:cs="Times New Roman"/>
          <w:sz w:val="24"/>
          <w:szCs w:val="24"/>
        </w:rPr>
        <w:t>Cover</w:t>
      </w:r>
      <w:proofErr w:type="spellEnd"/>
      <w:r w:rsidRPr="00FA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BFE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FA1BFE">
        <w:rPr>
          <w:rFonts w:ascii="Times New Roman" w:hAnsi="Times New Roman" w:cs="Times New Roman"/>
          <w:sz w:val="24"/>
          <w:szCs w:val="24"/>
        </w:rPr>
        <w:t xml:space="preserve">: A Case Study </w:t>
      </w:r>
      <w:proofErr w:type="spellStart"/>
      <w:r w:rsidRPr="00FA1BF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A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BFE">
        <w:rPr>
          <w:rFonts w:ascii="Times New Roman" w:hAnsi="Times New Roman" w:cs="Times New Roman"/>
          <w:sz w:val="24"/>
          <w:szCs w:val="24"/>
        </w:rPr>
        <w:t>Guerrero</w:t>
      </w:r>
      <w:proofErr w:type="spellEnd"/>
      <w:r w:rsidRPr="00FA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BFE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FA1BF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A1BFE">
        <w:rPr>
          <w:rFonts w:ascii="Times New Roman" w:hAnsi="Times New Roman" w:cs="Times New Roman"/>
          <w:sz w:val="24"/>
          <w:szCs w:val="24"/>
        </w:rPr>
        <w:t>Mexico</w:t>
      </w:r>
      <w:proofErr w:type="spellEnd"/>
    </w:p>
    <w:p w14:paraId="105BD23F" w14:textId="46CE64B9" w:rsidR="009C7D8A" w:rsidRPr="00FA1BFE" w:rsidRDefault="00FA1BFE">
      <w:pPr>
        <w:rPr>
          <w:rFonts w:ascii="Times New Roman" w:hAnsi="Times New Roman" w:cs="Times New Roman"/>
          <w:sz w:val="24"/>
          <w:szCs w:val="24"/>
          <w:highlight w:val="white"/>
        </w:rPr>
      </w:pPr>
      <w:proofErr w:type="spellStart"/>
      <w:r w:rsidRPr="00FA1BFE">
        <w:rPr>
          <w:rFonts w:ascii="Times New Roman" w:hAnsi="Times New Roman" w:cs="Times New Roman"/>
          <w:sz w:val="24"/>
          <w:szCs w:val="24"/>
          <w:highlight w:val="white"/>
        </w:rPr>
        <w:t>Vázquez-Jiménez</w:t>
      </w:r>
      <w:proofErr w:type="spellEnd"/>
      <w:r w:rsidRPr="00FA1BFE">
        <w:rPr>
          <w:rFonts w:ascii="Times New Roman" w:hAnsi="Times New Roman" w:cs="Times New Roman"/>
          <w:sz w:val="24"/>
          <w:szCs w:val="24"/>
          <w:highlight w:val="white"/>
        </w:rPr>
        <w:t xml:space="preserve">, R.; </w:t>
      </w:r>
      <w:proofErr w:type="spellStart"/>
      <w:r w:rsidRPr="00FA1BFE">
        <w:rPr>
          <w:rFonts w:ascii="Times New Roman" w:hAnsi="Times New Roman" w:cs="Times New Roman"/>
          <w:sz w:val="24"/>
          <w:szCs w:val="24"/>
          <w:highlight w:val="white"/>
        </w:rPr>
        <w:t>Romero-Calcerrada</w:t>
      </w:r>
      <w:proofErr w:type="spellEnd"/>
      <w:r w:rsidRPr="00FA1BFE">
        <w:rPr>
          <w:rFonts w:ascii="Times New Roman" w:hAnsi="Times New Roman" w:cs="Times New Roman"/>
          <w:sz w:val="24"/>
          <w:szCs w:val="24"/>
          <w:highlight w:val="white"/>
        </w:rPr>
        <w:t xml:space="preserve">, R.; </w:t>
      </w:r>
      <w:proofErr w:type="spellStart"/>
      <w:r w:rsidRPr="00FA1BFE">
        <w:rPr>
          <w:rFonts w:ascii="Times New Roman" w:hAnsi="Times New Roman" w:cs="Times New Roman"/>
          <w:sz w:val="24"/>
          <w:szCs w:val="24"/>
          <w:highlight w:val="white"/>
        </w:rPr>
        <w:t>Ramos-Bernal</w:t>
      </w:r>
      <w:proofErr w:type="spellEnd"/>
      <w:r w:rsidRPr="00FA1BFE">
        <w:rPr>
          <w:rFonts w:ascii="Times New Roman" w:hAnsi="Times New Roman" w:cs="Times New Roman"/>
          <w:sz w:val="24"/>
          <w:szCs w:val="24"/>
          <w:highlight w:val="white"/>
        </w:rPr>
        <w:t xml:space="preserve">, R.N.; </w:t>
      </w:r>
      <w:proofErr w:type="spellStart"/>
      <w:r w:rsidRPr="00FA1BFE">
        <w:rPr>
          <w:rFonts w:ascii="Times New Roman" w:hAnsi="Times New Roman" w:cs="Times New Roman"/>
          <w:sz w:val="24"/>
          <w:szCs w:val="24"/>
          <w:highlight w:val="white"/>
        </w:rPr>
        <w:t>Arrogante-Funes</w:t>
      </w:r>
      <w:proofErr w:type="spellEnd"/>
      <w:r w:rsidRPr="00FA1BFE">
        <w:rPr>
          <w:rFonts w:ascii="Times New Roman" w:hAnsi="Times New Roman" w:cs="Times New Roman"/>
          <w:sz w:val="24"/>
          <w:szCs w:val="24"/>
          <w:highlight w:val="white"/>
        </w:rPr>
        <w:t xml:space="preserve">, P.; </w:t>
      </w:r>
      <w:proofErr w:type="spellStart"/>
      <w:r w:rsidRPr="00FA1BFE">
        <w:rPr>
          <w:rFonts w:ascii="Times New Roman" w:hAnsi="Times New Roman" w:cs="Times New Roman"/>
          <w:sz w:val="24"/>
          <w:szCs w:val="24"/>
          <w:highlight w:val="white"/>
        </w:rPr>
        <w:t>Novillo</w:t>
      </w:r>
      <w:proofErr w:type="spellEnd"/>
      <w:r w:rsidRPr="00FA1BFE">
        <w:rPr>
          <w:rFonts w:ascii="Times New Roman" w:hAnsi="Times New Roman" w:cs="Times New Roman"/>
          <w:sz w:val="24"/>
          <w:szCs w:val="24"/>
          <w:highlight w:val="white"/>
        </w:rPr>
        <w:t xml:space="preserve">, C.J. An </w:t>
      </w:r>
      <w:proofErr w:type="spellStart"/>
      <w:r w:rsidRPr="00FA1BFE">
        <w:rPr>
          <w:rFonts w:ascii="Times New Roman" w:hAnsi="Times New Roman" w:cs="Times New Roman"/>
          <w:sz w:val="24"/>
          <w:szCs w:val="24"/>
          <w:highlight w:val="white"/>
        </w:rPr>
        <w:t>Alternative</w:t>
      </w:r>
      <w:proofErr w:type="spellEnd"/>
      <w:r w:rsidRPr="00FA1BFE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FA1BFE">
        <w:rPr>
          <w:rFonts w:ascii="Times New Roman" w:hAnsi="Times New Roman" w:cs="Times New Roman"/>
          <w:sz w:val="24"/>
          <w:szCs w:val="24"/>
          <w:highlight w:val="white"/>
        </w:rPr>
        <w:t>Metho</w:t>
      </w:r>
      <w:r w:rsidRPr="00FA1BFE">
        <w:rPr>
          <w:rFonts w:ascii="Times New Roman" w:hAnsi="Times New Roman" w:cs="Times New Roman"/>
          <w:sz w:val="24"/>
          <w:szCs w:val="24"/>
          <w:highlight w:val="white"/>
        </w:rPr>
        <w:t>d</w:t>
      </w:r>
      <w:proofErr w:type="spellEnd"/>
      <w:r w:rsidRPr="00FA1BFE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FA1BFE">
        <w:rPr>
          <w:rFonts w:ascii="Times New Roman" w:hAnsi="Times New Roman" w:cs="Times New Roman"/>
          <w:sz w:val="24"/>
          <w:szCs w:val="24"/>
          <w:highlight w:val="white"/>
        </w:rPr>
        <w:t>for</w:t>
      </w:r>
      <w:proofErr w:type="spellEnd"/>
      <w:r w:rsidRPr="00FA1BFE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FA1BFE">
        <w:rPr>
          <w:rFonts w:ascii="Times New Roman" w:hAnsi="Times New Roman" w:cs="Times New Roman"/>
          <w:sz w:val="24"/>
          <w:szCs w:val="24"/>
          <w:highlight w:val="white"/>
        </w:rPr>
        <w:t>the</w:t>
      </w:r>
      <w:proofErr w:type="spellEnd"/>
      <w:r w:rsidRPr="00FA1BFE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FA1BFE">
        <w:rPr>
          <w:rFonts w:ascii="Times New Roman" w:hAnsi="Times New Roman" w:cs="Times New Roman"/>
          <w:sz w:val="24"/>
          <w:szCs w:val="24"/>
          <w:highlight w:val="white"/>
        </w:rPr>
        <w:t>Generation</w:t>
      </w:r>
      <w:proofErr w:type="spellEnd"/>
      <w:r w:rsidRPr="00FA1BFE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FA1BFE">
        <w:rPr>
          <w:rFonts w:ascii="Times New Roman" w:hAnsi="Times New Roman" w:cs="Times New Roman"/>
          <w:sz w:val="24"/>
          <w:szCs w:val="24"/>
          <w:highlight w:val="white"/>
        </w:rPr>
        <w:t>of</w:t>
      </w:r>
      <w:proofErr w:type="spellEnd"/>
      <w:r w:rsidRPr="00FA1BFE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FA1BFE">
        <w:rPr>
          <w:rFonts w:ascii="Times New Roman" w:hAnsi="Times New Roman" w:cs="Times New Roman"/>
          <w:sz w:val="24"/>
          <w:szCs w:val="24"/>
          <w:highlight w:val="white"/>
        </w:rPr>
        <w:t>Consistent</w:t>
      </w:r>
      <w:proofErr w:type="spellEnd"/>
      <w:r w:rsidRPr="00FA1BFE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FA1BFE">
        <w:rPr>
          <w:rFonts w:ascii="Times New Roman" w:hAnsi="Times New Roman" w:cs="Times New Roman"/>
          <w:sz w:val="24"/>
          <w:szCs w:val="24"/>
          <w:highlight w:val="white"/>
        </w:rPr>
        <w:t>Mapping</w:t>
      </w:r>
      <w:proofErr w:type="spellEnd"/>
      <w:r w:rsidRPr="00FA1BFE">
        <w:rPr>
          <w:rFonts w:ascii="Times New Roman" w:hAnsi="Times New Roman" w:cs="Times New Roman"/>
          <w:sz w:val="24"/>
          <w:szCs w:val="24"/>
          <w:highlight w:val="white"/>
        </w:rPr>
        <w:t xml:space="preserve"> to Monitoring Land </w:t>
      </w:r>
      <w:proofErr w:type="spellStart"/>
      <w:r w:rsidRPr="00FA1BFE">
        <w:rPr>
          <w:rFonts w:ascii="Times New Roman" w:hAnsi="Times New Roman" w:cs="Times New Roman"/>
          <w:sz w:val="24"/>
          <w:szCs w:val="24"/>
          <w:highlight w:val="white"/>
        </w:rPr>
        <w:t>Cover</w:t>
      </w:r>
      <w:proofErr w:type="spellEnd"/>
      <w:r w:rsidRPr="00FA1BFE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FA1BFE">
        <w:rPr>
          <w:rFonts w:ascii="Times New Roman" w:hAnsi="Times New Roman" w:cs="Times New Roman"/>
          <w:sz w:val="24"/>
          <w:szCs w:val="24"/>
          <w:highlight w:val="white"/>
        </w:rPr>
        <w:t>Change</w:t>
      </w:r>
      <w:proofErr w:type="spellEnd"/>
      <w:r w:rsidRPr="00FA1BFE">
        <w:rPr>
          <w:rFonts w:ascii="Times New Roman" w:hAnsi="Times New Roman" w:cs="Times New Roman"/>
          <w:sz w:val="24"/>
          <w:szCs w:val="24"/>
          <w:highlight w:val="white"/>
        </w:rPr>
        <w:t xml:space="preserve">: A Case Study </w:t>
      </w:r>
      <w:proofErr w:type="spellStart"/>
      <w:r w:rsidRPr="00FA1BFE">
        <w:rPr>
          <w:rFonts w:ascii="Times New Roman" w:hAnsi="Times New Roman" w:cs="Times New Roman"/>
          <w:sz w:val="24"/>
          <w:szCs w:val="24"/>
          <w:highlight w:val="white"/>
        </w:rPr>
        <w:t>of</w:t>
      </w:r>
      <w:proofErr w:type="spellEnd"/>
      <w:r w:rsidRPr="00FA1BFE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FA1BFE">
        <w:rPr>
          <w:rFonts w:ascii="Times New Roman" w:hAnsi="Times New Roman" w:cs="Times New Roman"/>
          <w:sz w:val="24"/>
          <w:szCs w:val="24"/>
          <w:highlight w:val="white"/>
        </w:rPr>
        <w:t>Guerrero</w:t>
      </w:r>
      <w:proofErr w:type="spellEnd"/>
      <w:r w:rsidRPr="00FA1BFE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FA1BFE">
        <w:rPr>
          <w:rFonts w:ascii="Times New Roman" w:hAnsi="Times New Roman" w:cs="Times New Roman"/>
          <w:sz w:val="24"/>
          <w:szCs w:val="24"/>
          <w:highlight w:val="white"/>
        </w:rPr>
        <w:t>State</w:t>
      </w:r>
      <w:proofErr w:type="spellEnd"/>
      <w:r w:rsidRPr="00FA1BFE">
        <w:rPr>
          <w:rFonts w:ascii="Times New Roman" w:hAnsi="Times New Roman" w:cs="Times New Roman"/>
          <w:sz w:val="24"/>
          <w:szCs w:val="24"/>
          <w:highlight w:val="white"/>
        </w:rPr>
        <w:t xml:space="preserve"> in </w:t>
      </w:r>
      <w:proofErr w:type="spellStart"/>
      <w:r w:rsidRPr="00FA1BFE">
        <w:rPr>
          <w:rFonts w:ascii="Times New Roman" w:hAnsi="Times New Roman" w:cs="Times New Roman"/>
          <w:sz w:val="24"/>
          <w:szCs w:val="24"/>
          <w:highlight w:val="white"/>
        </w:rPr>
        <w:t>Mexico</w:t>
      </w:r>
      <w:proofErr w:type="spellEnd"/>
      <w:r w:rsidRPr="00FA1BFE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  <w:r w:rsidRPr="00FA1BFE">
        <w:rPr>
          <w:rFonts w:ascii="Times New Roman" w:hAnsi="Times New Roman" w:cs="Times New Roman"/>
          <w:i/>
          <w:sz w:val="24"/>
          <w:szCs w:val="24"/>
          <w:highlight w:val="white"/>
        </w:rPr>
        <w:t>Land</w:t>
      </w:r>
      <w:r w:rsidRPr="00FA1BFE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FA1BFE">
        <w:rPr>
          <w:rFonts w:ascii="Times New Roman" w:hAnsi="Times New Roman" w:cs="Times New Roman"/>
          <w:b/>
          <w:sz w:val="24"/>
          <w:szCs w:val="24"/>
          <w:highlight w:val="white"/>
        </w:rPr>
        <w:t>2021</w:t>
      </w:r>
      <w:r w:rsidRPr="00FA1BFE">
        <w:rPr>
          <w:rFonts w:ascii="Times New Roman" w:hAnsi="Times New Roman" w:cs="Times New Roman"/>
          <w:sz w:val="24"/>
          <w:szCs w:val="24"/>
          <w:highlight w:val="white"/>
        </w:rPr>
        <w:t xml:space="preserve">, </w:t>
      </w:r>
      <w:r w:rsidRPr="00FA1BFE">
        <w:rPr>
          <w:rFonts w:ascii="Times New Roman" w:hAnsi="Times New Roman" w:cs="Times New Roman"/>
          <w:i/>
          <w:sz w:val="24"/>
          <w:szCs w:val="24"/>
          <w:highlight w:val="white"/>
        </w:rPr>
        <w:t>10</w:t>
      </w:r>
      <w:r w:rsidRPr="00FA1BFE">
        <w:rPr>
          <w:rFonts w:ascii="Times New Roman" w:hAnsi="Times New Roman" w:cs="Times New Roman"/>
          <w:sz w:val="24"/>
          <w:szCs w:val="24"/>
          <w:highlight w:val="white"/>
        </w:rPr>
        <w:t>, 731.</w:t>
      </w:r>
      <w:r w:rsidR="004E6F85" w:rsidRPr="00FA1BFE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</w:p>
    <w:p w14:paraId="105BD240" w14:textId="77777777" w:rsidR="009C7D8A" w:rsidRPr="00FA1BFE" w:rsidRDefault="009C7D8A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14:paraId="105BD241" w14:textId="77777777" w:rsidR="009C7D8A" w:rsidRPr="00FA1BFE" w:rsidRDefault="00FA1BFE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FA1BFE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Klíčová slova:</w:t>
      </w:r>
      <w:r w:rsidRPr="00FA1BFE">
        <w:rPr>
          <w:rFonts w:ascii="Times New Roman" w:hAnsi="Times New Roman" w:cs="Times New Roman"/>
          <w:sz w:val="24"/>
          <w:szCs w:val="24"/>
          <w:highlight w:val="white"/>
        </w:rPr>
        <w:t xml:space="preserve"> využití p</w:t>
      </w:r>
      <w:r w:rsidRPr="00FA1BFE">
        <w:rPr>
          <w:rFonts w:ascii="Times New Roman" w:hAnsi="Times New Roman" w:cs="Times New Roman"/>
          <w:sz w:val="24"/>
          <w:szCs w:val="24"/>
          <w:highlight w:val="white"/>
        </w:rPr>
        <w:t>ůdy/půdní kryt (LULC); mapování LULC; klasifikace snímků; detekce změn.</w:t>
      </w:r>
    </w:p>
    <w:p w14:paraId="105BD242" w14:textId="77777777" w:rsidR="009C7D8A" w:rsidRPr="00FA1BFE" w:rsidRDefault="009C7D8A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14:paraId="105BD243" w14:textId="74C5ACC8" w:rsidR="009C7D8A" w:rsidRPr="00FA1BFE" w:rsidRDefault="00FA1BFE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FA1BFE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Dostupné z: </w:t>
      </w:r>
      <w:r w:rsidRPr="00FA1BFE">
        <w:rPr>
          <w:rFonts w:ascii="Times New Roman" w:hAnsi="Times New Roman" w:cs="Times New Roman"/>
          <w:sz w:val="24"/>
          <w:szCs w:val="24"/>
          <w:highlight w:val="white"/>
        </w:rPr>
        <w:t>https://www.mdpi.com/2073-445X/10/7/731</w:t>
      </w:r>
    </w:p>
    <w:p w14:paraId="105BD244" w14:textId="77777777" w:rsidR="009C7D8A" w:rsidRPr="00FA1BFE" w:rsidRDefault="009C7D8A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14:paraId="105BD245" w14:textId="77777777" w:rsidR="009C7D8A" w:rsidRPr="00FA1BFE" w:rsidRDefault="00FA1BFE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FA1BFE">
        <w:rPr>
          <w:rFonts w:ascii="Times New Roman" w:hAnsi="Times New Roman" w:cs="Times New Roman"/>
          <w:sz w:val="24"/>
          <w:szCs w:val="24"/>
          <w:highlight w:val="white"/>
        </w:rPr>
        <w:t xml:space="preserve">V souvislosti s globálním oteplováním, úbytkem biologické rozmanitosti </w:t>
      </w:r>
      <w:r w:rsidRPr="00FA1BFE">
        <w:rPr>
          <w:rFonts w:ascii="Times New Roman" w:hAnsi="Times New Roman" w:cs="Times New Roman"/>
          <w:sz w:val="24"/>
          <w:szCs w:val="24"/>
          <w:highlight w:val="white"/>
        </w:rPr>
        <w:t>(zejména v důsledku degradace a intenzifikace využívání půdy člověkem) a rostoucí světovou populací je sledování změn ve využívání půdy zásadní pro lepší řízení dopadů na ekosystémy a lidské činnosti. Polovina původních světových lesních porostů byla ztrac</w:t>
      </w:r>
      <w:r w:rsidRPr="00FA1BFE">
        <w:rPr>
          <w:rFonts w:ascii="Times New Roman" w:hAnsi="Times New Roman" w:cs="Times New Roman"/>
          <w:sz w:val="24"/>
          <w:szCs w:val="24"/>
          <w:highlight w:val="white"/>
        </w:rPr>
        <w:t>ena a 30 % ekosystémů bylo nenávratně zničeno. Pouze třetinu zemského povrchu pokrývá pevnina. Lesní ekosystémy přispívají k udržení biologické rozmanitosti, regulaci koloběhu vody, ukládání uhlíku a dalším ekologickým funkcím, a proto musíme usilovat o je</w:t>
      </w:r>
      <w:r w:rsidRPr="00FA1BFE">
        <w:rPr>
          <w:rFonts w:ascii="Times New Roman" w:hAnsi="Times New Roman" w:cs="Times New Roman"/>
          <w:sz w:val="24"/>
          <w:szCs w:val="24"/>
          <w:highlight w:val="white"/>
        </w:rPr>
        <w:t>jich zachování. Přeměna lesů na zemědělské nebo městské plochy se v posledních 30 letech stala běžnou záležitostí po celém světě i v některých částech Mexika.</w:t>
      </w:r>
    </w:p>
    <w:p w14:paraId="105BD246" w14:textId="77777777" w:rsidR="009C7D8A" w:rsidRPr="00FA1BFE" w:rsidRDefault="009C7D8A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14:paraId="105BD247" w14:textId="77777777" w:rsidR="009C7D8A" w:rsidRPr="00FA1BFE" w:rsidRDefault="00FA1BFE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FA1BFE">
        <w:rPr>
          <w:rFonts w:ascii="Times New Roman" w:hAnsi="Times New Roman" w:cs="Times New Roman"/>
          <w:sz w:val="24"/>
          <w:szCs w:val="24"/>
          <w:highlight w:val="white"/>
        </w:rPr>
        <w:t>V této studii vědci navrhují alternativní metodu založenou na konvenčních technikách detekce změ</w:t>
      </w:r>
      <w:r w:rsidRPr="00FA1BFE">
        <w:rPr>
          <w:rFonts w:ascii="Times New Roman" w:hAnsi="Times New Roman" w:cs="Times New Roman"/>
          <w:sz w:val="24"/>
          <w:szCs w:val="24"/>
          <w:highlight w:val="white"/>
        </w:rPr>
        <w:t>n v kombinaci s kontrolovanou klasifikací s maximální věrohodností (</w:t>
      </w:r>
      <w:proofErr w:type="spellStart"/>
      <w:r w:rsidRPr="00FA1BFE">
        <w:rPr>
          <w:rFonts w:ascii="Times New Roman" w:hAnsi="Times New Roman" w:cs="Times New Roman"/>
          <w:sz w:val="24"/>
          <w:szCs w:val="24"/>
          <w:highlight w:val="white"/>
        </w:rPr>
        <w:t>MaxLike</w:t>
      </w:r>
      <w:proofErr w:type="spellEnd"/>
      <w:r w:rsidRPr="00FA1BFE">
        <w:rPr>
          <w:rFonts w:ascii="Times New Roman" w:hAnsi="Times New Roman" w:cs="Times New Roman"/>
          <w:sz w:val="24"/>
          <w:szCs w:val="24"/>
          <w:highlight w:val="white"/>
        </w:rPr>
        <w:t xml:space="preserve">) satelitních snímků, která umožňuje vytvářet konzistentní mapy využití půdy a jejího pokryvu (LULC). Novinkou této metody je, že klasifikace pod dohledem je aplikována v rané fázi </w:t>
      </w:r>
      <w:r w:rsidRPr="00FA1BFE">
        <w:rPr>
          <w:rFonts w:ascii="Times New Roman" w:hAnsi="Times New Roman" w:cs="Times New Roman"/>
          <w:sz w:val="24"/>
          <w:szCs w:val="24"/>
          <w:highlight w:val="white"/>
        </w:rPr>
        <w:t xml:space="preserve">detekce změn, a to výhradně na identifikované dynamické oblasti. Kategorie půdního pokryvu stabilních oblastí jsou získávány ze základní mapy vytvořené k počátečnímu datu. Metodika zahrnuje použití snímků </w:t>
      </w:r>
      <w:proofErr w:type="spellStart"/>
      <w:r w:rsidRPr="00FA1BFE">
        <w:rPr>
          <w:rFonts w:ascii="Times New Roman" w:hAnsi="Times New Roman" w:cs="Times New Roman"/>
          <w:sz w:val="24"/>
          <w:szCs w:val="24"/>
          <w:highlight w:val="white"/>
        </w:rPr>
        <w:t>Landsat</w:t>
      </w:r>
      <w:proofErr w:type="spellEnd"/>
      <w:r w:rsidRPr="00FA1BFE">
        <w:rPr>
          <w:rFonts w:ascii="Times New Roman" w:hAnsi="Times New Roman" w:cs="Times New Roman"/>
          <w:sz w:val="24"/>
          <w:szCs w:val="24"/>
          <w:highlight w:val="white"/>
        </w:rPr>
        <w:t xml:space="preserve"> z let 2011 a 2016, aplikaci topografického </w:t>
      </w:r>
      <w:r w:rsidRPr="00FA1BFE">
        <w:rPr>
          <w:rFonts w:ascii="Times New Roman" w:hAnsi="Times New Roman" w:cs="Times New Roman"/>
          <w:sz w:val="24"/>
          <w:szCs w:val="24"/>
          <w:highlight w:val="white"/>
        </w:rPr>
        <w:t xml:space="preserve">korekčního modelu Sun </w:t>
      </w:r>
      <w:proofErr w:type="spellStart"/>
      <w:r w:rsidRPr="00FA1BFE">
        <w:rPr>
          <w:rFonts w:ascii="Times New Roman" w:hAnsi="Times New Roman" w:cs="Times New Roman"/>
          <w:sz w:val="24"/>
          <w:szCs w:val="24"/>
          <w:highlight w:val="white"/>
        </w:rPr>
        <w:t>Canopy</w:t>
      </w:r>
      <w:proofErr w:type="spellEnd"/>
      <w:r w:rsidRPr="00FA1BFE">
        <w:rPr>
          <w:rFonts w:ascii="Times New Roman" w:hAnsi="Times New Roman" w:cs="Times New Roman"/>
          <w:sz w:val="24"/>
          <w:szCs w:val="24"/>
          <w:highlight w:val="white"/>
        </w:rPr>
        <w:t xml:space="preserve"> Sensor (SCS+C) rozšířeného o klasifikaci svahu, použití korigovaných topografických snímků odvozených z NDVI a použití indexů jasu, zelenosti a vlhkosti </w:t>
      </w:r>
      <w:proofErr w:type="spellStart"/>
      <w:r w:rsidRPr="00FA1BFE">
        <w:rPr>
          <w:rFonts w:ascii="Times New Roman" w:hAnsi="Times New Roman" w:cs="Times New Roman"/>
          <w:sz w:val="24"/>
          <w:szCs w:val="24"/>
          <w:highlight w:val="white"/>
        </w:rPr>
        <w:t>Tasseled</w:t>
      </w:r>
      <w:proofErr w:type="spellEnd"/>
      <w:r w:rsidRPr="00FA1BFE">
        <w:rPr>
          <w:rFonts w:ascii="Times New Roman" w:hAnsi="Times New Roman" w:cs="Times New Roman"/>
          <w:sz w:val="24"/>
          <w:szCs w:val="24"/>
          <w:highlight w:val="white"/>
        </w:rPr>
        <w:t xml:space="preserve"> Cap (TC) a hlavních komponent (PC).</w:t>
      </w:r>
    </w:p>
    <w:p w14:paraId="105BD248" w14:textId="77777777" w:rsidR="009C7D8A" w:rsidRPr="00FA1BFE" w:rsidRDefault="009C7D8A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14:paraId="105BD249" w14:textId="77777777" w:rsidR="009C7D8A" w:rsidRPr="00FA1BFE" w:rsidRDefault="00FA1BFE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FA1BFE">
        <w:rPr>
          <w:rFonts w:ascii="Times New Roman" w:hAnsi="Times New Roman" w:cs="Times New Roman"/>
          <w:sz w:val="24"/>
          <w:szCs w:val="24"/>
          <w:highlight w:val="white"/>
        </w:rPr>
        <w:t>Mapování půdního krytu pomoc</w:t>
      </w:r>
      <w:r w:rsidRPr="00FA1BFE">
        <w:rPr>
          <w:rFonts w:ascii="Times New Roman" w:hAnsi="Times New Roman" w:cs="Times New Roman"/>
          <w:sz w:val="24"/>
          <w:szCs w:val="24"/>
          <w:highlight w:val="white"/>
        </w:rPr>
        <w:t>í technik dálkového průzkumu Země a GIS poskytuje zásadní podporu pro sledování a hodnocení přechodů půdního krytu. Tyto mapy půdního krytu jsou užitečné pro vědce, správce půdy, tvůrce politik a uživatele, kteří se zabývají otázkami životního prostředí ne</w:t>
      </w:r>
      <w:r w:rsidRPr="00FA1BFE">
        <w:rPr>
          <w:rFonts w:ascii="Times New Roman" w:hAnsi="Times New Roman" w:cs="Times New Roman"/>
          <w:sz w:val="24"/>
          <w:szCs w:val="24"/>
          <w:highlight w:val="white"/>
        </w:rPr>
        <w:t>bo udržitelnými půdními zdroji. Význam poskytování map půdního krytu se stal naléhavějším v závislosti na environmentálních výzvách, kterým lidstvo čelí. Zdroje dat, metody a technologie umožňují odvodit důsledky degradačních procesů, desertifikace, ztráty</w:t>
      </w:r>
      <w:r w:rsidRPr="00FA1BFE">
        <w:rPr>
          <w:rFonts w:ascii="Times New Roman" w:hAnsi="Times New Roman" w:cs="Times New Roman"/>
          <w:sz w:val="24"/>
          <w:szCs w:val="24"/>
          <w:highlight w:val="white"/>
        </w:rPr>
        <w:t xml:space="preserve"> biologické rozmanitosti a přírodních a kulturních ztrát. Tímto způsobem lze zkoumat možné vzorce a budoucí chování v dotčených regionech a předvídat důsledky, které z toho vyplývají. Kromě toho mohou být tyto údaje velmi užitečné pro navrhování a plánován</w:t>
      </w:r>
      <w:r w:rsidRPr="00FA1BFE">
        <w:rPr>
          <w:rFonts w:ascii="Times New Roman" w:hAnsi="Times New Roman" w:cs="Times New Roman"/>
          <w:sz w:val="24"/>
          <w:szCs w:val="24"/>
          <w:highlight w:val="white"/>
        </w:rPr>
        <w:t>í ochrany a správy půdy.</w:t>
      </w:r>
    </w:p>
    <w:p w14:paraId="105BD24A" w14:textId="77777777" w:rsidR="009C7D8A" w:rsidRPr="00FA1BFE" w:rsidRDefault="009C7D8A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14:paraId="105BD24B" w14:textId="77777777" w:rsidR="009C7D8A" w:rsidRPr="00FA1BFE" w:rsidRDefault="00FA1BFE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FA1BFE">
        <w:rPr>
          <w:rFonts w:ascii="Times New Roman" w:hAnsi="Times New Roman" w:cs="Times New Roman"/>
          <w:sz w:val="24"/>
          <w:szCs w:val="24"/>
          <w:highlight w:val="white"/>
        </w:rPr>
        <w:t xml:space="preserve">Výhodou satelitních snímků je, že představují časová data v různých elektromagnetických spektrálních pásmech (multispektrální data), časové rozlišení volně dostupných senzorů (v </w:t>
      </w:r>
      <w:r w:rsidRPr="00FA1BFE">
        <w:rPr>
          <w:rFonts w:ascii="Times New Roman" w:hAnsi="Times New Roman" w:cs="Times New Roman"/>
          <w:sz w:val="24"/>
          <w:szCs w:val="24"/>
          <w:highlight w:val="white"/>
        </w:rPr>
        <w:lastRenderedPageBreak/>
        <w:t>průměru 16 dní) a prostorové rozlišení snímků ve vid</w:t>
      </w:r>
      <w:r w:rsidRPr="00FA1BFE">
        <w:rPr>
          <w:rFonts w:ascii="Times New Roman" w:hAnsi="Times New Roman" w:cs="Times New Roman"/>
          <w:sz w:val="24"/>
          <w:szCs w:val="24"/>
          <w:highlight w:val="white"/>
        </w:rPr>
        <w:t>itelném a infračerveném pásmu (</w:t>
      </w:r>
      <w:proofErr w:type="spellStart"/>
      <w:r w:rsidRPr="00FA1BFE">
        <w:rPr>
          <w:rFonts w:ascii="Times New Roman" w:hAnsi="Times New Roman" w:cs="Times New Roman"/>
          <w:sz w:val="24"/>
          <w:szCs w:val="24"/>
          <w:highlight w:val="white"/>
        </w:rPr>
        <w:t>Landsat</w:t>
      </w:r>
      <w:proofErr w:type="spellEnd"/>
      <w:r w:rsidRPr="00FA1BFE">
        <w:rPr>
          <w:rFonts w:ascii="Times New Roman" w:hAnsi="Times New Roman" w:cs="Times New Roman"/>
          <w:sz w:val="24"/>
          <w:szCs w:val="24"/>
          <w:highlight w:val="white"/>
        </w:rPr>
        <w:t xml:space="preserve"> 30 m, Aster 15-30 m, Sentinel 10-20 m) je vhodné pro studie v místním nebo regionálním měřítku.</w:t>
      </w:r>
    </w:p>
    <w:p w14:paraId="105BD24C" w14:textId="77777777" w:rsidR="009C7D8A" w:rsidRPr="00FA1BFE" w:rsidRDefault="009C7D8A">
      <w:pPr>
        <w:rPr>
          <w:rFonts w:ascii="Times New Roman" w:eastAsia="Arial" w:hAnsi="Times New Roman" w:cs="Times New Roman"/>
          <w:sz w:val="24"/>
          <w:szCs w:val="24"/>
          <w:highlight w:val="white"/>
        </w:rPr>
      </w:pPr>
    </w:p>
    <w:p w14:paraId="105BD24D" w14:textId="77777777" w:rsidR="009C7D8A" w:rsidRPr="00FA1BFE" w:rsidRDefault="009C7D8A">
      <w:pPr>
        <w:rPr>
          <w:rFonts w:ascii="Times New Roman" w:eastAsia="Arial" w:hAnsi="Times New Roman" w:cs="Times New Roman"/>
          <w:sz w:val="24"/>
          <w:szCs w:val="24"/>
          <w:highlight w:val="white"/>
        </w:rPr>
      </w:pPr>
    </w:p>
    <w:p w14:paraId="105BD24E" w14:textId="77777777" w:rsidR="009C7D8A" w:rsidRPr="00FA1BFE" w:rsidRDefault="00FA1BFE">
      <w:pPr>
        <w:rPr>
          <w:rFonts w:ascii="Times New Roman" w:eastAsia="Arial" w:hAnsi="Times New Roman" w:cs="Times New Roman"/>
          <w:sz w:val="24"/>
          <w:szCs w:val="24"/>
          <w:highlight w:val="white"/>
        </w:rPr>
      </w:pPr>
      <w:r w:rsidRPr="00FA1BFE">
        <w:rPr>
          <w:rFonts w:ascii="Times New Roman" w:hAnsi="Times New Roman" w:cs="Times New Roman"/>
          <w:b/>
          <w:sz w:val="24"/>
          <w:szCs w:val="24"/>
        </w:rPr>
        <w:t xml:space="preserve">Zpracovali: </w:t>
      </w:r>
      <w:r w:rsidRPr="00FA1BFE">
        <w:rPr>
          <w:rFonts w:ascii="Times New Roman" w:hAnsi="Times New Roman" w:cs="Times New Roman"/>
          <w:sz w:val="24"/>
          <w:szCs w:val="24"/>
        </w:rPr>
        <w:t xml:space="preserve">Vincent </w:t>
      </w:r>
      <w:proofErr w:type="spellStart"/>
      <w:r w:rsidRPr="00FA1BFE">
        <w:rPr>
          <w:rFonts w:ascii="Times New Roman" w:hAnsi="Times New Roman" w:cs="Times New Roman"/>
          <w:sz w:val="24"/>
          <w:szCs w:val="24"/>
        </w:rPr>
        <w:t>Onckelet</w:t>
      </w:r>
      <w:proofErr w:type="spellEnd"/>
      <w:r w:rsidRPr="00FA1BFE">
        <w:rPr>
          <w:rFonts w:ascii="Times New Roman" w:hAnsi="Times New Roman" w:cs="Times New Roman"/>
          <w:sz w:val="24"/>
          <w:szCs w:val="24"/>
        </w:rPr>
        <w:t xml:space="preserve"> (Plan4all </w:t>
      </w:r>
      <w:proofErr w:type="spellStart"/>
      <w:r w:rsidRPr="00FA1BFE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Pr="00FA1BFE">
        <w:rPr>
          <w:rFonts w:ascii="Times New Roman" w:hAnsi="Times New Roman" w:cs="Times New Roman"/>
          <w:sz w:val="24"/>
          <w:szCs w:val="24"/>
        </w:rPr>
        <w:t xml:space="preserve">.) a Hana Kubíčková (Plan4all </w:t>
      </w:r>
      <w:proofErr w:type="spellStart"/>
      <w:r w:rsidRPr="00FA1BFE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Pr="00FA1BFE">
        <w:rPr>
          <w:rFonts w:ascii="Times New Roman" w:hAnsi="Times New Roman" w:cs="Times New Roman"/>
          <w:sz w:val="24"/>
          <w:szCs w:val="24"/>
        </w:rPr>
        <w:t>.)</w:t>
      </w:r>
    </w:p>
    <w:p w14:paraId="105BD24F" w14:textId="77777777" w:rsidR="009C7D8A" w:rsidRPr="00FA1BFE" w:rsidRDefault="009C7D8A">
      <w:pPr>
        <w:rPr>
          <w:rFonts w:ascii="Times New Roman" w:eastAsia="Arial" w:hAnsi="Times New Roman" w:cs="Times New Roman"/>
          <w:sz w:val="24"/>
          <w:szCs w:val="24"/>
          <w:highlight w:val="white"/>
        </w:rPr>
      </w:pPr>
    </w:p>
    <w:p w14:paraId="105BD250" w14:textId="77777777" w:rsidR="009C7D8A" w:rsidRPr="00FA1BFE" w:rsidRDefault="009C7D8A">
      <w:pPr>
        <w:rPr>
          <w:rFonts w:ascii="Times New Roman" w:hAnsi="Times New Roman" w:cs="Times New Roman"/>
          <w:sz w:val="24"/>
          <w:szCs w:val="24"/>
        </w:rPr>
      </w:pPr>
    </w:p>
    <w:sectPr w:rsidR="009C7D8A" w:rsidRPr="00FA1BF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D8A"/>
    <w:rsid w:val="004E6F85"/>
    <w:rsid w:val="009C7D8A"/>
    <w:rsid w:val="00FA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BD23C"/>
  <w15:docId w15:val="{6306B678-838F-4ADB-99F6-4BEDAFBD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" w:eastAsia="cs-CZ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Lukáčová</dc:creator>
  <cp:lastModifiedBy>Kateřina Lukáčová</cp:lastModifiedBy>
  <cp:revision>2</cp:revision>
  <dcterms:created xsi:type="dcterms:W3CDTF">2022-02-14T11:26:00Z</dcterms:created>
  <dcterms:modified xsi:type="dcterms:W3CDTF">2022-02-14T11:26:00Z</dcterms:modified>
</cp:coreProperties>
</file>