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E0" w:rsidRPr="00990DE0" w:rsidRDefault="00483E4E" w:rsidP="00990DE0">
      <w:pPr>
        <w:pStyle w:val="Nadpis1"/>
        <w:spacing w:after="240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0" w:name="_GoBack"/>
      <w:proofErr w:type="spellStart"/>
      <w:r w:rsidRPr="00990DE0">
        <w:rPr>
          <w:rFonts w:ascii="Times New Roman" w:hAnsi="Times New Roman" w:cs="Times New Roman"/>
          <w:b/>
          <w:color w:val="auto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b/>
          <w:color w:val="auto"/>
          <w:szCs w:val="24"/>
        </w:rPr>
        <w:t xml:space="preserve"> selekce ve šlechtění prasat</w:t>
      </w:r>
    </w:p>
    <w:bookmarkEnd w:id="0"/>
    <w:p w:rsidR="00990DE0" w:rsidRDefault="00990DE0" w:rsidP="00990DE0">
      <w:pPr>
        <w:ind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Doc. Ing. Jaroslav Čítek, Ph.D.</w:t>
      </w:r>
    </w:p>
    <w:p w:rsidR="00483E4E" w:rsidRPr="00990DE0" w:rsidRDefault="00483E4E" w:rsidP="00483E4E">
      <w:pPr>
        <w:rPr>
          <w:rFonts w:ascii="Times New Roman" w:hAnsi="Times New Roman" w:cs="Times New Roman"/>
          <w:bCs/>
          <w:szCs w:val="24"/>
        </w:rPr>
      </w:pPr>
      <w:proofErr w:type="spellStart"/>
      <w:r w:rsidRPr="00990DE0">
        <w:rPr>
          <w:rFonts w:ascii="Times New Roman" w:hAnsi="Times New Roman" w:cs="Times New Roman"/>
          <w:bCs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bCs/>
          <w:szCs w:val="24"/>
        </w:rPr>
        <w:t xml:space="preserve"> selekce donedávna slavila úspěchy výhradně u dojeného skotu, ale v současnosti se dá považovat za jeden z předpokladů konkurenceschopnosti plemenářské práce u všech druhů hospodářských zvířat. Nejinak je tomu ve šlechtění prasat. Při aplikaci </w:t>
      </w:r>
      <w:proofErr w:type="spellStart"/>
      <w:r w:rsidRPr="00990DE0">
        <w:rPr>
          <w:rFonts w:ascii="Times New Roman" w:hAnsi="Times New Roman" w:cs="Times New Roman"/>
          <w:bCs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bCs/>
          <w:szCs w:val="24"/>
        </w:rPr>
        <w:t xml:space="preserve"> selekce ovšem musíme dbát na biologická a chovatelská specifika každého druhu.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Ještě než budou nastíněna tato specifika v případě šlechtění prasat, je vhodné shrnout, co </w:t>
      </w:r>
      <w:proofErr w:type="spellStart"/>
      <w:r w:rsidRPr="00990DE0">
        <w:rPr>
          <w:rFonts w:ascii="Times New Roman" w:hAnsi="Times New Roman" w:cs="Times New Roman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znamená a na jakých základech stojí. Ačkoliv se jedná o metodu poměrně novou, rutinně využívanou teprve od minulé dekády, její klíčové prvky znají šlechtitelé dobře už od minulého století.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>Selekci obecně umožňuje sběr (užitkových) dat, která mj. vyhodnocujeme pomocí plemenných hodnot (PH). Ty odhadujeme matematickými modely – nejčastěji stále lineárními, konkrétně nejlepší lineární nevychýlenou předpovědí (BLUP). Zvolený model má v podstatě za úkol rozložit naměřenou užitkovost na kombinaci různých efektů, mezi nimiž se nachází právě i efekt jedince čili PH. Varianta BLUP – Animal Model přináší tu výhodu, že PH je odhadována pro každé zvíře, ale při současném zohlednění užitkovosti příbuzných jedinců. To umožňuje zahrnutí matice příbuznosti (</w:t>
      </w:r>
      <w:proofErr w:type="spellStart"/>
      <w:r w:rsidRPr="00990DE0">
        <w:rPr>
          <w:rFonts w:ascii="Times New Roman" w:hAnsi="Times New Roman" w:cs="Times New Roman"/>
          <w:szCs w:val="24"/>
        </w:rPr>
        <w:t>Mrode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2005).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>V minulosti selekce probíhala pouze na základě pozorovatelných vlastností – fenotypových údajů. Avšak nyní jsou poměrně snadno dostupné také informace přímo z DNA zvířat čili genotypové údaje (</w:t>
      </w:r>
      <w:proofErr w:type="spellStart"/>
      <w:r w:rsidRPr="00990DE0">
        <w:rPr>
          <w:rFonts w:ascii="Times New Roman" w:hAnsi="Times New Roman" w:cs="Times New Roman"/>
          <w:szCs w:val="24"/>
        </w:rPr>
        <w:t>Ciobanu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2011), jimiž můžeme klasický BLUP „obohatit“. Vděčíme za to zejména molekulárním </w:t>
      </w:r>
      <w:proofErr w:type="spellStart"/>
      <w:r w:rsidRPr="00990DE0">
        <w:rPr>
          <w:rFonts w:ascii="Times New Roman" w:hAnsi="Times New Roman" w:cs="Times New Roman"/>
          <w:szCs w:val="24"/>
        </w:rPr>
        <w:t>markerům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Tyto </w:t>
      </w:r>
      <w:proofErr w:type="spellStart"/>
      <w:r w:rsidRPr="00990DE0">
        <w:rPr>
          <w:rFonts w:ascii="Times New Roman" w:hAnsi="Times New Roman" w:cs="Times New Roman"/>
          <w:szCs w:val="24"/>
        </w:rPr>
        <w:t>markery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jsou značkami/identifikátory, které v genomu označují specifický </w:t>
      </w:r>
      <w:proofErr w:type="spellStart"/>
      <w:r w:rsidRPr="00990DE0">
        <w:rPr>
          <w:rFonts w:ascii="Times New Roman" w:hAnsi="Times New Roman" w:cs="Times New Roman"/>
          <w:szCs w:val="24"/>
        </w:rPr>
        <w:t>lokus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 podávají informaci o konkrétním genu. Jinými slovy reprezentují (genetickou) proměnlivost mezi organizmy (</w:t>
      </w:r>
      <w:proofErr w:type="spellStart"/>
      <w:r w:rsidRPr="00990DE0">
        <w:rPr>
          <w:rFonts w:ascii="Times New Roman" w:hAnsi="Times New Roman" w:cs="Times New Roman"/>
          <w:szCs w:val="24"/>
        </w:rPr>
        <w:t>Collard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2005; </w:t>
      </w:r>
      <w:proofErr w:type="spellStart"/>
      <w:r w:rsidRPr="00990DE0">
        <w:rPr>
          <w:rFonts w:ascii="Times New Roman" w:hAnsi="Times New Roman" w:cs="Times New Roman"/>
          <w:szCs w:val="24"/>
        </w:rPr>
        <w:t>Khlestkina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2014). 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Genetickou proměnlivost zapříčiňují mutace. Nejčastějším typem jsou mutace jednobodové, tzv. </w:t>
      </w:r>
      <w:proofErr w:type="spellStart"/>
      <w:r w:rsidRPr="00990DE0">
        <w:rPr>
          <w:rFonts w:ascii="Times New Roman" w:hAnsi="Times New Roman" w:cs="Times New Roman"/>
          <w:szCs w:val="24"/>
        </w:rPr>
        <w:t>jednonukleotidové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polymorfizmy (SNP), které zároveň představují jeden ze základních molekulárních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Jelikož se většina SNP vyskytuje ve dvou variantách, dvou různých alelách, tento </w:t>
      </w:r>
      <w:proofErr w:type="spellStart"/>
      <w:r w:rsidRPr="00990DE0">
        <w:rPr>
          <w:rFonts w:ascii="Times New Roman" w:hAnsi="Times New Roman" w:cs="Times New Roman"/>
          <w:szCs w:val="24"/>
        </w:rPr>
        <w:t>marker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bývá charakterizován jako </w:t>
      </w:r>
      <w:proofErr w:type="spellStart"/>
      <w:r w:rsidRPr="00990DE0">
        <w:rPr>
          <w:rFonts w:ascii="Times New Roman" w:hAnsi="Times New Roman" w:cs="Times New Roman"/>
          <w:szCs w:val="24"/>
        </w:rPr>
        <w:t>bialelický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SNP získaly oblibu díky svému četnému výskytu napříč celým genomem, čímž kompenzují nízkou úroveň polymorfizmu; jsou snadno a rychle detekovatelné; mají vysokou genetickou stabilitu či opakovatelnost a </w:t>
      </w:r>
      <w:proofErr w:type="spellStart"/>
      <w:r w:rsidRPr="00990DE0">
        <w:rPr>
          <w:rFonts w:ascii="Times New Roman" w:hAnsi="Times New Roman" w:cs="Times New Roman"/>
          <w:szCs w:val="24"/>
        </w:rPr>
        <w:t>kodominantní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podstatu. SNP zároveň samozřejmě opisují obecné výhody </w:t>
      </w:r>
      <w:r w:rsidRPr="00990DE0">
        <w:rPr>
          <w:rFonts w:ascii="Times New Roman" w:hAnsi="Times New Roman" w:cs="Times New Roman"/>
          <w:szCs w:val="24"/>
        </w:rPr>
        <w:lastRenderedPageBreak/>
        <w:t xml:space="preserve">molekulárních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>, mezi něž patří nezávislost na podmínkách prostředí i na vývoji (věku) jedince nebo nedestruktivnost (</w:t>
      </w:r>
      <w:proofErr w:type="spellStart"/>
      <w:r w:rsidRPr="00990DE0">
        <w:rPr>
          <w:rFonts w:ascii="Times New Roman" w:hAnsi="Times New Roman" w:cs="Times New Roman"/>
          <w:szCs w:val="24"/>
        </w:rPr>
        <w:t>Yang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2013; </w:t>
      </w:r>
      <w:proofErr w:type="spellStart"/>
      <w:r w:rsidRPr="00990DE0">
        <w:rPr>
          <w:rFonts w:ascii="Times New Roman" w:hAnsi="Times New Roman" w:cs="Times New Roman"/>
          <w:szCs w:val="24"/>
        </w:rPr>
        <w:t>Teama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2018). 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O vhodnosti </w:t>
      </w:r>
      <w:proofErr w:type="spellStart"/>
      <w:r w:rsidRPr="00990DE0">
        <w:rPr>
          <w:rFonts w:ascii="Times New Roman" w:hAnsi="Times New Roman" w:cs="Times New Roman"/>
          <w:szCs w:val="24"/>
        </w:rPr>
        <w:t>markeru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pro šlechtění zvířat vypovídá jeho vliv na genetický, případně ekonomický zisk. Genetický zisk v čase (</w:t>
      </w:r>
      <w:proofErr w:type="spellStart"/>
      <w:r w:rsidRPr="00990DE0">
        <w:rPr>
          <w:rFonts w:ascii="Times New Roman" w:hAnsi="Times New Roman" w:cs="Times New Roman"/>
          <w:szCs w:val="24"/>
        </w:rPr>
        <w:t>ΔG</w:t>
      </w:r>
      <w:r w:rsidRPr="00990DE0">
        <w:rPr>
          <w:rFonts w:ascii="Times New Roman" w:hAnsi="Times New Roman" w:cs="Times New Roman"/>
          <w:szCs w:val="24"/>
          <w:vertAlign w:val="subscript"/>
        </w:rPr>
        <w:t>t</w:t>
      </w:r>
      <w:proofErr w:type="spellEnd"/>
      <w:r w:rsidRPr="00990DE0">
        <w:rPr>
          <w:rFonts w:ascii="Times New Roman" w:hAnsi="Times New Roman" w:cs="Times New Roman"/>
          <w:szCs w:val="24"/>
        </w:rPr>
        <w:t>) je ve svém tradičním pojetí funkcí selekční intenzity (i), přesnosti (r), aditivní směrodatné odchylky (</w:t>
      </w:r>
      <w:proofErr w:type="spellStart"/>
      <w:r w:rsidRPr="00990DE0">
        <w:rPr>
          <w:rFonts w:ascii="Times New Roman" w:hAnsi="Times New Roman" w:cs="Times New Roman"/>
          <w:szCs w:val="24"/>
        </w:rPr>
        <w:t>σ</w:t>
      </w:r>
      <w:r w:rsidRPr="00990DE0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) a generačního intervalu (L) – vyplývá ze vzorce </w:t>
      </w:r>
      <w:proofErr w:type="spellStart"/>
      <w:r w:rsidRPr="00990DE0">
        <w:rPr>
          <w:rFonts w:ascii="Times New Roman" w:hAnsi="Times New Roman" w:cs="Times New Roman"/>
          <w:szCs w:val="24"/>
        </w:rPr>
        <w:t>ΔG</w:t>
      </w:r>
      <w:r w:rsidRPr="00990DE0">
        <w:rPr>
          <w:rFonts w:ascii="Times New Roman" w:hAnsi="Times New Roman" w:cs="Times New Roman"/>
          <w:szCs w:val="24"/>
          <w:vertAlign w:val="subscript"/>
        </w:rPr>
        <w:t>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= i * r * </w:t>
      </w:r>
      <w:proofErr w:type="spellStart"/>
      <w:r w:rsidRPr="00990DE0">
        <w:rPr>
          <w:rFonts w:ascii="Times New Roman" w:hAnsi="Times New Roman" w:cs="Times New Roman"/>
          <w:szCs w:val="24"/>
        </w:rPr>
        <w:t>σ</w:t>
      </w:r>
      <w:r w:rsidRPr="00990DE0">
        <w:rPr>
          <w:rFonts w:ascii="Times New Roman" w:hAnsi="Times New Roman" w:cs="Times New Roman"/>
          <w:szCs w:val="24"/>
          <w:vertAlign w:val="subscript"/>
        </w:rPr>
        <w:t>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/ L (</w:t>
      </w:r>
      <w:proofErr w:type="spellStart"/>
      <w:r w:rsidRPr="00990DE0">
        <w:rPr>
          <w:rFonts w:ascii="Times New Roman" w:hAnsi="Times New Roman" w:cs="Times New Roman"/>
          <w:szCs w:val="24"/>
        </w:rPr>
        <w:t>Falconer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r w:rsidRPr="00990DE0">
        <w:rPr>
          <w:rFonts w:ascii="Times New Roman" w:hAnsi="Times New Roman" w:cs="Times New Roman"/>
          <w:szCs w:val="24"/>
          <w:lang w:val="en-GB"/>
        </w:rPr>
        <w:t>&amp;</w:t>
      </w:r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Mackay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r w:rsidRPr="00990DE0">
        <w:rPr>
          <w:rFonts w:ascii="Times New Roman" w:hAnsi="Times New Roman" w:cs="Times New Roman"/>
          <w:szCs w:val="24"/>
          <w:lang w:val="en-GB"/>
        </w:rPr>
        <w:t xml:space="preserve">1995). </w:t>
      </w:r>
      <w:r w:rsidRPr="00990DE0">
        <w:rPr>
          <w:rFonts w:ascii="Times New Roman" w:hAnsi="Times New Roman" w:cs="Times New Roman"/>
          <w:szCs w:val="24"/>
        </w:rPr>
        <w:t xml:space="preserve">Snažíme se tedy najít takový </w:t>
      </w:r>
      <w:proofErr w:type="spellStart"/>
      <w:r w:rsidRPr="00990DE0">
        <w:rPr>
          <w:rFonts w:ascii="Times New Roman" w:hAnsi="Times New Roman" w:cs="Times New Roman"/>
          <w:szCs w:val="24"/>
        </w:rPr>
        <w:t>marker</w:t>
      </w:r>
      <w:proofErr w:type="spellEnd"/>
      <w:r w:rsidRPr="00990DE0">
        <w:rPr>
          <w:rFonts w:ascii="Times New Roman" w:hAnsi="Times New Roman" w:cs="Times New Roman"/>
          <w:szCs w:val="24"/>
        </w:rPr>
        <w:t>, který zvýší selekční intenzitu, zvýší přesnost (odhadu PH) a/nebo naopak sníží generační interval, protože pak roste genetický zisk.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Od konce 80. a začátku 90. let se molekulární </w:t>
      </w:r>
      <w:proofErr w:type="spellStart"/>
      <w:r w:rsidRPr="00990DE0">
        <w:rPr>
          <w:rFonts w:ascii="Times New Roman" w:hAnsi="Times New Roman" w:cs="Times New Roman"/>
          <w:szCs w:val="24"/>
        </w:rPr>
        <w:t>markery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díky své dostupnosti stávaly předmětem mnohých experimentálních studií, které hledaly </w:t>
      </w:r>
      <w:proofErr w:type="spellStart"/>
      <w:r w:rsidRPr="00990DE0">
        <w:rPr>
          <w:rFonts w:ascii="Times New Roman" w:hAnsi="Times New Roman" w:cs="Times New Roman"/>
          <w:szCs w:val="24"/>
        </w:rPr>
        <w:t>lokusy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kvantitativních vlastností (QTL). Tyto </w:t>
      </w:r>
      <w:proofErr w:type="spellStart"/>
      <w:r w:rsidRPr="00990DE0">
        <w:rPr>
          <w:rFonts w:ascii="Times New Roman" w:hAnsi="Times New Roman" w:cs="Times New Roman"/>
          <w:szCs w:val="24"/>
        </w:rPr>
        <w:t>lokusy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mají vysvětlovat značnou část polygenně založené užitkovosti, a tudíž jsou významné právě z hlediska genetického/ekonomického zisku (</w:t>
      </w:r>
      <w:proofErr w:type="spellStart"/>
      <w:r w:rsidRPr="00990DE0">
        <w:rPr>
          <w:rFonts w:ascii="Times New Roman" w:hAnsi="Times New Roman" w:cs="Times New Roman"/>
          <w:szCs w:val="24"/>
        </w:rPr>
        <w:t>Ibáñez-Escriche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2014). Databáze pro prasata v prosinci 2020 čítala už bezmála 31 tisíc QTL pro 692 užitkových vlastností (Animal Genome 2020).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>Vedle toho byly popisovány rovněž kandidátní geny, jejichž biologická funkce poukazuje na vztah k užitkovosti (</w:t>
      </w:r>
      <w:proofErr w:type="spellStart"/>
      <w:r w:rsidRPr="00990DE0">
        <w:rPr>
          <w:rFonts w:ascii="Times New Roman" w:hAnsi="Times New Roman" w:cs="Times New Roman"/>
          <w:szCs w:val="24"/>
        </w:rPr>
        <w:t>Knol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2016). Jak v případě QTL, tak v případě metody kandidátních genů hrají nezastupitelnou úlohu právě SNP, protože pokud se podaří identifikovat SNP ve vazbě s </w:t>
      </w:r>
      <w:proofErr w:type="spellStart"/>
      <w:r w:rsidRPr="00990DE0">
        <w:rPr>
          <w:rFonts w:ascii="Times New Roman" w:hAnsi="Times New Roman" w:cs="Times New Roman"/>
          <w:szCs w:val="24"/>
        </w:rPr>
        <w:t>lokusem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o nějž se zajímáme, nebo přímo příčinnou mutaci v genu, pak se tento SNP dá snadno použít jako </w:t>
      </w:r>
      <w:proofErr w:type="spellStart"/>
      <w:r w:rsidRPr="00990DE0">
        <w:rPr>
          <w:rFonts w:ascii="Times New Roman" w:hAnsi="Times New Roman" w:cs="Times New Roman"/>
          <w:szCs w:val="24"/>
        </w:rPr>
        <w:t>marker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dané vlastnosti.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Šlechtění za pomoci takových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 stalo samostatnou strategií, tzv. </w:t>
      </w:r>
      <w:proofErr w:type="spellStart"/>
      <w:r w:rsidRPr="00990DE0">
        <w:rPr>
          <w:rFonts w:ascii="Times New Roman" w:hAnsi="Times New Roman" w:cs="Times New Roman"/>
          <w:szCs w:val="24"/>
        </w:rPr>
        <w:t>markery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asistovanou selekcí (MAS). Její aplikace dokázala zvýšit genetický zisk o 10–20 % (někdy i mnohem více) – s ohledem na důležitost QTL (</w:t>
      </w:r>
      <w:proofErr w:type="spellStart"/>
      <w:r w:rsidRPr="00990DE0">
        <w:rPr>
          <w:rFonts w:ascii="Times New Roman" w:hAnsi="Times New Roman" w:cs="Times New Roman"/>
          <w:szCs w:val="24"/>
        </w:rPr>
        <w:t>Wakchaure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2015). U prasat se příčinné a ekonomicky významné SNP podařilo najít v genech </w:t>
      </w:r>
      <w:r w:rsidRPr="00990DE0">
        <w:rPr>
          <w:rFonts w:ascii="Times New Roman" w:hAnsi="Times New Roman" w:cs="Times New Roman"/>
          <w:i/>
          <w:iCs/>
          <w:szCs w:val="24"/>
        </w:rPr>
        <w:t>RYR1</w:t>
      </w:r>
      <w:r w:rsidRPr="00990DE0">
        <w:rPr>
          <w:rFonts w:ascii="Times New Roman" w:hAnsi="Times New Roman" w:cs="Times New Roman"/>
          <w:szCs w:val="24"/>
        </w:rPr>
        <w:t>,</w:t>
      </w:r>
      <w:r w:rsidRPr="00990DE0">
        <w:rPr>
          <w:rFonts w:ascii="Times New Roman" w:hAnsi="Times New Roman" w:cs="Times New Roman"/>
          <w:i/>
          <w:iCs/>
          <w:szCs w:val="24"/>
        </w:rPr>
        <w:t xml:space="preserve"> ESR</w:t>
      </w:r>
      <w:r w:rsidRPr="00990DE0">
        <w:rPr>
          <w:rFonts w:ascii="Times New Roman" w:hAnsi="Times New Roman" w:cs="Times New Roman"/>
          <w:szCs w:val="24"/>
        </w:rPr>
        <w:t xml:space="preserve">, </w:t>
      </w:r>
      <w:r w:rsidRPr="00990DE0">
        <w:rPr>
          <w:rFonts w:ascii="Times New Roman" w:hAnsi="Times New Roman" w:cs="Times New Roman"/>
          <w:i/>
          <w:iCs/>
          <w:szCs w:val="24"/>
        </w:rPr>
        <w:t xml:space="preserve">IGF2 </w:t>
      </w:r>
      <w:r w:rsidRPr="00990DE0">
        <w:rPr>
          <w:rFonts w:ascii="Times New Roman" w:hAnsi="Times New Roman" w:cs="Times New Roman"/>
          <w:szCs w:val="24"/>
        </w:rPr>
        <w:t xml:space="preserve">nebo </w:t>
      </w:r>
      <w:r w:rsidRPr="00990DE0">
        <w:rPr>
          <w:rFonts w:ascii="Times New Roman" w:hAnsi="Times New Roman" w:cs="Times New Roman"/>
          <w:i/>
          <w:iCs/>
          <w:szCs w:val="24"/>
        </w:rPr>
        <w:t>LEPR</w:t>
      </w:r>
      <w:r w:rsidRPr="00990DE0">
        <w:rPr>
          <w:rFonts w:ascii="Times New Roman" w:hAnsi="Times New Roman" w:cs="Times New Roman"/>
          <w:szCs w:val="24"/>
        </w:rPr>
        <w:t xml:space="preserve">, avšak ty nakonec byly spíše výjimkou. Hledání vhodných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 ukázalo být složitým a někdy bezvýsledným procesem. Obvyklým problémem vybraných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pak bylo nadhodnocování účinků souvisejícího QTL a jejich nekonzistentnost či nepřenositelnost mezi populacemi a ve více generacích. V praxi MAS nedosáhla dostatečné efektivity, aby mohla být rutinně využívána ve velké míře (</w:t>
      </w:r>
      <w:proofErr w:type="spellStart"/>
      <w:r w:rsidRPr="00990DE0">
        <w:rPr>
          <w:rFonts w:ascii="Times New Roman" w:hAnsi="Times New Roman" w:cs="Times New Roman"/>
          <w:szCs w:val="24"/>
        </w:rPr>
        <w:t>Ibáñez-Escriche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2014; </w:t>
      </w:r>
      <w:proofErr w:type="spellStart"/>
      <w:r w:rsidRPr="00990DE0">
        <w:rPr>
          <w:rFonts w:ascii="Times New Roman" w:hAnsi="Times New Roman" w:cs="Times New Roman"/>
          <w:szCs w:val="24"/>
        </w:rPr>
        <w:t>Knol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2016; </w:t>
      </w:r>
      <w:proofErr w:type="spellStart"/>
      <w:r w:rsidRPr="00990DE0">
        <w:rPr>
          <w:rFonts w:ascii="Times New Roman" w:hAnsi="Times New Roman" w:cs="Times New Roman"/>
          <w:szCs w:val="24"/>
        </w:rPr>
        <w:t>Samore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990DE0">
        <w:rPr>
          <w:rFonts w:ascii="Times New Roman" w:hAnsi="Times New Roman" w:cs="Times New Roman"/>
          <w:szCs w:val="24"/>
        </w:rPr>
        <w:t>Fontanesi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2016).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Revolučním krokem kupředu a brzy také novým standardem ve šlechtění, který navázal právě na MAS, se stala </w:t>
      </w:r>
      <w:proofErr w:type="spellStart"/>
      <w:r w:rsidRPr="00990DE0">
        <w:rPr>
          <w:rFonts w:ascii="Times New Roman" w:hAnsi="Times New Roman" w:cs="Times New Roman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</w:t>
      </w:r>
      <w:r w:rsidRPr="00990DE0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990DE0">
        <w:rPr>
          <w:rFonts w:ascii="Times New Roman" w:hAnsi="Times New Roman" w:cs="Times New Roman"/>
          <w:szCs w:val="24"/>
        </w:rPr>
        <w:t xml:space="preserve">Ta jde ruku v ruce s rozvojem vysoce výkonných biotechnologií, zejména </w:t>
      </w:r>
      <w:proofErr w:type="spellStart"/>
      <w:r w:rsidRPr="00990DE0">
        <w:rPr>
          <w:rFonts w:ascii="Times New Roman" w:hAnsi="Times New Roman" w:cs="Times New Roman"/>
          <w:szCs w:val="24"/>
        </w:rPr>
        <w:t>high-density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DNA čipů (tedy čipů s vysokou hustotou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), jež </w:t>
      </w:r>
      <w:r w:rsidRPr="00990DE0">
        <w:rPr>
          <w:rFonts w:ascii="Times New Roman" w:hAnsi="Times New Roman" w:cs="Times New Roman"/>
          <w:szCs w:val="24"/>
        </w:rPr>
        <w:lastRenderedPageBreak/>
        <w:t xml:space="preserve">identifikují desítky až stovky tisíc SNP napříč genomem. Šlechtitelské společnosti tyto čipy s úspěchem využívají (Van </w:t>
      </w:r>
      <w:proofErr w:type="spellStart"/>
      <w:r w:rsidRPr="00990DE0">
        <w:rPr>
          <w:rFonts w:ascii="Times New Roman" w:hAnsi="Times New Roman" w:cs="Times New Roman"/>
          <w:szCs w:val="24"/>
        </w:rPr>
        <w:t>Eenennaam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2014; </w:t>
      </w:r>
      <w:proofErr w:type="spellStart"/>
      <w:r w:rsidRPr="00990DE0">
        <w:rPr>
          <w:rFonts w:ascii="Times New Roman" w:hAnsi="Times New Roman" w:cs="Times New Roman"/>
          <w:szCs w:val="24"/>
        </w:rPr>
        <w:t>Misztal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2020).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Meuwissen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(2016), kteří se už počátkem tisíciletí zařadili mezi průkopníky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selekce, shrnují, že hlavní výhoda této metody oproti MAS tkví v předpokladu, že s genem ovlivňujícím jakoukoliv (užitkovou) vlastnost mohou být spojeny všechny </w:t>
      </w:r>
      <w:proofErr w:type="spellStart"/>
      <w:r w:rsidRPr="00990DE0">
        <w:rPr>
          <w:rFonts w:ascii="Times New Roman" w:hAnsi="Times New Roman" w:cs="Times New Roman"/>
          <w:szCs w:val="24"/>
        </w:rPr>
        <w:t>markery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Proto se </w:t>
      </w:r>
      <w:proofErr w:type="spellStart"/>
      <w:r w:rsidRPr="00990DE0">
        <w:rPr>
          <w:rFonts w:ascii="Times New Roman" w:hAnsi="Times New Roman" w:cs="Times New Roman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zaměřuje spíše na odhadování efektů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nežli na testování jejich důležitosti. MAS naopak spoustu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(a tedy genů) ignoruje, jelikož jejich efekt není statisticky významný. Tato skutečnost tedy odporuje komplexnímu pojetí užitkových vlastností v infinitesimálním modelu. Kupříkladu u dojeného skotu se před 20 lety předpokládalo, že vlastnosti mléčné užitkovosti ovlivňuje několik desítek genů, avšak nyní se ukazuje, že zapojeno bude spíš několik tisíc genů. Jinými slovy: užitkové vlastnosti se jeví ještě komplexněji, než se zdálo.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Genomickou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selekcí se obecně rozumí odhad </w:t>
      </w:r>
      <w:proofErr w:type="spellStart"/>
      <w:r w:rsidRPr="00990DE0">
        <w:rPr>
          <w:rFonts w:ascii="Times New Roman" w:hAnsi="Times New Roman" w:cs="Times New Roman"/>
          <w:szCs w:val="24"/>
        </w:rPr>
        <w:t>genomických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plemenných hodnot (GEPH). Statistické metody pro odhad GEPH rozdělil </w:t>
      </w:r>
      <w:proofErr w:type="spellStart"/>
      <w:r w:rsidRPr="00990DE0">
        <w:rPr>
          <w:rFonts w:ascii="Times New Roman" w:hAnsi="Times New Roman" w:cs="Times New Roman"/>
          <w:szCs w:val="24"/>
        </w:rPr>
        <w:t>Weigel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(2017) do tří kategorií: modely využívající BLUP, </w:t>
      </w:r>
      <w:proofErr w:type="spellStart"/>
      <w:r w:rsidRPr="00990DE0">
        <w:rPr>
          <w:rFonts w:ascii="Times New Roman" w:hAnsi="Times New Roman" w:cs="Times New Roman"/>
          <w:szCs w:val="24"/>
        </w:rPr>
        <w:t>Bayesovské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regresní modely a algoritmy strojového učení. </w:t>
      </w:r>
      <w:proofErr w:type="spellStart"/>
      <w:r w:rsidRPr="00990DE0">
        <w:rPr>
          <w:rFonts w:ascii="Times New Roman" w:hAnsi="Times New Roman" w:cs="Times New Roman"/>
          <w:szCs w:val="24"/>
        </w:rPr>
        <w:t>Misztal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(2020) uvádějí, že ve šlechtění skotu, prasat a kura se běžně využívá tzv. jednokroková metoda – </w:t>
      </w:r>
      <w:proofErr w:type="spellStart"/>
      <w:r w:rsidRPr="00990DE0">
        <w:rPr>
          <w:rFonts w:ascii="Times New Roman" w:hAnsi="Times New Roman" w:cs="Times New Roman"/>
          <w:szCs w:val="24"/>
        </w:rPr>
        <w:t>ssGBLUP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SNP zde slouží k rozšíření klasické rodokmenové matice příbuznosti o příbuznost </w:t>
      </w:r>
      <w:proofErr w:type="spellStart"/>
      <w:r w:rsidRPr="00990DE0">
        <w:rPr>
          <w:rFonts w:ascii="Times New Roman" w:hAnsi="Times New Roman" w:cs="Times New Roman"/>
          <w:szCs w:val="24"/>
        </w:rPr>
        <w:t>genomickou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– oproti starší vícekrokové metodě (</w:t>
      </w:r>
      <w:proofErr w:type="spellStart"/>
      <w:r w:rsidRPr="00990DE0">
        <w:rPr>
          <w:rFonts w:ascii="Times New Roman" w:hAnsi="Times New Roman" w:cs="Times New Roman"/>
          <w:szCs w:val="24"/>
        </w:rPr>
        <w:t>msGBLUP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) se tak děje v jednom kroku, pročež je </w:t>
      </w:r>
      <w:proofErr w:type="spellStart"/>
      <w:r w:rsidRPr="00990DE0">
        <w:rPr>
          <w:rFonts w:ascii="Times New Roman" w:hAnsi="Times New Roman" w:cs="Times New Roman"/>
          <w:szCs w:val="24"/>
        </w:rPr>
        <w:t>ssGBLUP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jednodušší. Ovšem hlavní výhoda jednokrokové metody spočívá v zohlednění </w:t>
      </w:r>
      <w:proofErr w:type="spellStart"/>
      <w:r w:rsidRPr="00990DE0">
        <w:rPr>
          <w:rFonts w:ascii="Times New Roman" w:hAnsi="Times New Roman" w:cs="Times New Roman"/>
          <w:szCs w:val="24"/>
        </w:rPr>
        <w:t>preselekce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zvířat a možnosti odhadovat GEPH i pro </w:t>
      </w:r>
      <w:proofErr w:type="spellStart"/>
      <w:r w:rsidRPr="00990DE0">
        <w:rPr>
          <w:rFonts w:ascii="Times New Roman" w:hAnsi="Times New Roman" w:cs="Times New Roman"/>
          <w:szCs w:val="24"/>
        </w:rPr>
        <w:t>negenotypovaná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zvířata.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>Jak bylo předesláno v úvodu, jelikož pokrok v </w:t>
      </w:r>
      <w:proofErr w:type="spellStart"/>
      <w:r w:rsidRPr="00990DE0">
        <w:rPr>
          <w:rFonts w:ascii="Times New Roman" w:hAnsi="Times New Roman" w:cs="Times New Roman"/>
          <w:szCs w:val="24"/>
        </w:rPr>
        <w:t>genomickém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hodnocení udával zejména mléčný skot, šlechtitelé prasat se ocitli před novými úskalími. Aplikace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u prasat vypadala problematická z hlediska návratnosti investice. Příčin existuje několik. Generační interval je už tak mnohem kratší než u skotu a další zkracování by bylo prakticky velmi obtížné, takže tím odpadá jedna z hlavních předností. Nukleové chovy zahrnují relativně malý počet jedinců. Poměr ceny jatečného kusu </w:t>
      </w:r>
      <w:proofErr w:type="gramStart"/>
      <w:r w:rsidRPr="00990DE0">
        <w:rPr>
          <w:rFonts w:ascii="Times New Roman" w:hAnsi="Times New Roman" w:cs="Times New Roman"/>
          <w:szCs w:val="24"/>
        </w:rPr>
        <w:t>ku</w:t>
      </w:r>
      <w:proofErr w:type="gramEnd"/>
      <w:r w:rsidRPr="00990DE0">
        <w:rPr>
          <w:rFonts w:ascii="Times New Roman" w:hAnsi="Times New Roman" w:cs="Times New Roman"/>
          <w:szCs w:val="24"/>
        </w:rPr>
        <w:t xml:space="preserve"> nákladům na </w:t>
      </w:r>
      <w:proofErr w:type="spellStart"/>
      <w:r w:rsidRPr="00990DE0">
        <w:rPr>
          <w:rFonts w:ascii="Times New Roman" w:hAnsi="Times New Roman" w:cs="Times New Roman"/>
          <w:szCs w:val="24"/>
        </w:rPr>
        <w:t>genotypování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je mnohem méně výhodný. </w:t>
      </w:r>
      <w:proofErr w:type="spellStart"/>
      <w:r w:rsidRPr="00990DE0">
        <w:rPr>
          <w:rFonts w:ascii="Times New Roman" w:hAnsi="Times New Roman" w:cs="Times New Roman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probíhá u čistokrevných jedinců, kdežto konečným produktem chovů se stávají kříženci, aby se využilo heterózního efektu (tedy neaditivních účinků genů). Vazbová nerovnováha se ve sledu generací rychle mění, a tak odhad GEPH ztrácí přesnost. Šlechtitelské cíle u prasat jsou hodně různorodé (</w:t>
      </w:r>
      <w:proofErr w:type="spellStart"/>
      <w:r w:rsidRPr="00990DE0">
        <w:rPr>
          <w:rFonts w:ascii="Times New Roman" w:hAnsi="Times New Roman" w:cs="Times New Roman"/>
          <w:szCs w:val="24"/>
        </w:rPr>
        <w:t>Ibáñez-Escriche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2014; </w:t>
      </w:r>
      <w:proofErr w:type="spellStart"/>
      <w:r w:rsidRPr="00990DE0">
        <w:rPr>
          <w:rFonts w:ascii="Times New Roman" w:hAnsi="Times New Roman" w:cs="Times New Roman"/>
          <w:szCs w:val="24"/>
        </w:rPr>
        <w:t>Samore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990DE0">
        <w:rPr>
          <w:rFonts w:ascii="Times New Roman" w:hAnsi="Times New Roman" w:cs="Times New Roman"/>
          <w:szCs w:val="24"/>
        </w:rPr>
        <w:t>Fontanesi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2016).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lastRenderedPageBreak/>
        <w:t xml:space="preserve">Avšak na zdolávání těchto překážek se pracuje. Náklady na </w:t>
      </w:r>
      <w:proofErr w:type="spellStart"/>
      <w:r w:rsidRPr="00990DE0">
        <w:rPr>
          <w:rFonts w:ascii="Times New Roman" w:hAnsi="Times New Roman" w:cs="Times New Roman"/>
          <w:szCs w:val="24"/>
        </w:rPr>
        <w:t>genotypování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lze výrazně snížit, když je nejvýkonnější typ čipů (PorcineSNP60) použit pouze u plemenných kanců a jejich otců a selektovaní kanci (případně prasnice) ze zbytku populace jsou </w:t>
      </w:r>
      <w:proofErr w:type="spellStart"/>
      <w:r w:rsidRPr="00990DE0">
        <w:rPr>
          <w:rFonts w:ascii="Times New Roman" w:hAnsi="Times New Roman" w:cs="Times New Roman"/>
          <w:szCs w:val="24"/>
        </w:rPr>
        <w:t>genotypováni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levnějšími čipy s malou hustotou </w:t>
      </w:r>
      <w:proofErr w:type="spellStart"/>
      <w:r w:rsidRPr="00990DE0">
        <w:rPr>
          <w:rFonts w:ascii="Times New Roman" w:hAnsi="Times New Roman" w:cs="Times New Roman"/>
          <w:szCs w:val="24"/>
        </w:rPr>
        <w:t>markerů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Při současném zahrnutí metody imputace dat se ukazuje, že tato strategie pomáhá odhadovat GEPH jen s malým úbytkem v přesnosti. Mimo to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informace dokážou sloužit k odhalování proměnlivosti, kterou podmiňují neaditivní účinky genů čili intra- a </w:t>
      </w:r>
      <w:proofErr w:type="spellStart"/>
      <w:r w:rsidRPr="00990DE0">
        <w:rPr>
          <w:rFonts w:ascii="Times New Roman" w:hAnsi="Times New Roman" w:cs="Times New Roman"/>
          <w:szCs w:val="24"/>
        </w:rPr>
        <w:t>intergenové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interakce (</w:t>
      </w:r>
      <w:proofErr w:type="spellStart"/>
      <w:r w:rsidRPr="00990DE0">
        <w:rPr>
          <w:rFonts w:ascii="Times New Roman" w:hAnsi="Times New Roman" w:cs="Times New Roman"/>
          <w:szCs w:val="24"/>
        </w:rPr>
        <w:t>epistáze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či dominance). Využití modelů, které zohledňují právě i tyto účinky, vede k dalšímu zvýšení genetického zisku (</w:t>
      </w:r>
      <w:proofErr w:type="spellStart"/>
      <w:r w:rsidRPr="00990DE0">
        <w:rPr>
          <w:rFonts w:ascii="Times New Roman" w:hAnsi="Times New Roman" w:cs="Times New Roman"/>
          <w:szCs w:val="24"/>
        </w:rPr>
        <w:t>Ibáñez-Escriche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2014; </w:t>
      </w:r>
      <w:proofErr w:type="spellStart"/>
      <w:r w:rsidRPr="00990DE0">
        <w:rPr>
          <w:rFonts w:ascii="Times New Roman" w:hAnsi="Times New Roman" w:cs="Times New Roman"/>
          <w:szCs w:val="24"/>
        </w:rPr>
        <w:t>Lopes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2015). Podle </w:t>
      </w:r>
      <w:proofErr w:type="spellStart"/>
      <w:r w:rsidRPr="00990DE0">
        <w:rPr>
          <w:rFonts w:ascii="Times New Roman" w:hAnsi="Times New Roman" w:cs="Times New Roman"/>
          <w:szCs w:val="24"/>
        </w:rPr>
        <w:t>Meuwissena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2016 připadá v úvahu dokonce i zkrácení generačního intervalu, a to až o čtvrtinu.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Celkově se </w:t>
      </w:r>
      <w:proofErr w:type="spellStart"/>
      <w:r w:rsidRPr="00990DE0">
        <w:rPr>
          <w:rFonts w:ascii="Times New Roman" w:hAnsi="Times New Roman" w:cs="Times New Roman"/>
          <w:szCs w:val="24"/>
        </w:rPr>
        <w:t>genomická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u prasat přes svá specifika projevuje slibně. Výhodu přináší ve šlechtění na reprodukční znaky, protože lze odhadovat </w:t>
      </w:r>
      <w:proofErr w:type="spellStart"/>
      <w:r w:rsidRPr="00990DE0">
        <w:rPr>
          <w:rFonts w:ascii="Times New Roman" w:hAnsi="Times New Roman" w:cs="Times New Roman"/>
          <w:szCs w:val="24"/>
        </w:rPr>
        <w:t>maternální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vlastnosti i kanců, a na rovněž na ty znaky, které jsou jinak měřeny invazivně (např. jatečná hodnota). Díky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selekci se také daří lépe odhadovat užitkovost finálních hybridů a kontrolovat </w:t>
      </w:r>
      <w:proofErr w:type="spellStart"/>
      <w:r w:rsidRPr="00990DE0">
        <w:rPr>
          <w:rFonts w:ascii="Times New Roman" w:hAnsi="Times New Roman" w:cs="Times New Roman"/>
          <w:szCs w:val="24"/>
        </w:rPr>
        <w:t>inbreeding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90DE0">
        <w:rPr>
          <w:rFonts w:ascii="Times New Roman" w:hAnsi="Times New Roman" w:cs="Times New Roman"/>
          <w:szCs w:val="24"/>
        </w:rPr>
        <w:t>Meuwissen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2016; </w:t>
      </w:r>
      <w:proofErr w:type="spellStart"/>
      <w:r w:rsidRPr="00990DE0">
        <w:rPr>
          <w:rFonts w:ascii="Times New Roman" w:hAnsi="Times New Roman" w:cs="Times New Roman"/>
          <w:szCs w:val="24"/>
        </w:rPr>
        <w:t>Samore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990DE0">
        <w:rPr>
          <w:rFonts w:ascii="Times New Roman" w:hAnsi="Times New Roman" w:cs="Times New Roman"/>
          <w:szCs w:val="24"/>
        </w:rPr>
        <w:t>Fontanesi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2016). Společnosti PIC (2020) a </w:t>
      </w:r>
      <w:proofErr w:type="spellStart"/>
      <w:r w:rsidRPr="00990DE0">
        <w:rPr>
          <w:rFonts w:ascii="Times New Roman" w:hAnsi="Times New Roman" w:cs="Times New Roman"/>
          <w:szCs w:val="24"/>
        </w:rPr>
        <w:t>DanBred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(2020) udávají, že po zavedení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 jejich genetický zisk zvedl zhruba o třetinu. Van </w:t>
      </w:r>
      <w:proofErr w:type="spellStart"/>
      <w:r w:rsidRPr="00990DE0">
        <w:rPr>
          <w:rFonts w:ascii="Times New Roman" w:hAnsi="Times New Roman" w:cs="Times New Roman"/>
          <w:szCs w:val="24"/>
        </w:rPr>
        <w:t>Eenennaam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et al. 2014 navíc zmiňuje, že s rozmachem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musejí být spojeny také investice do sběru fenotypových dat a že by se ani při zavádění </w:t>
      </w:r>
      <w:proofErr w:type="spellStart"/>
      <w:r w:rsidRPr="00990DE0">
        <w:rPr>
          <w:rFonts w:ascii="Times New Roman" w:hAnsi="Times New Roman" w:cs="Times New Roman"/>
          <w:szCs w:val="24"/>
        </w:rPr>
        <w:t>genomické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selekce neměly opomíjet QTL či snaha identifikovat příčinné mutace, které by mohly pomoci třeba v boji s ekonomicky významnými nemocemi.</w:t>
      </w:r>
    </w:p>
    <w:p w:rsidR="00483E4E" w:rsidRPr="00990DE0" w:rsidRDefault="00483E4E" w:rsidP="00483E4E">
      <w:pPr>
        <w:spacing w:line="259" w:lineRule="auto"/>
        <w:ind w:firstLine="0"/>
        <w:jc w:val="left"/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br w:type="page"/>
      </w:r>
    </w:p>
    <w:p w:rsidR="00483E4E" w:rsidRPr="00990DE0" w:rsidRDefault="00483E4E" w:rsidP="00483E4E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990DE0">
        <w:rPr>
          <w:rFonts w:ascii="Times New Roman" w:hAnsi="Times New Roman" w:cs="Times New Roman"/>
          <w:sz w:val="24"/>
          <w:szCs w:val="24"/>
        </w:rPr>
        <w:lastRenderedPageBreak/>
        <w:t>Použitá literatura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Goal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Focus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on Maximum </w:t>
      </w:r>
      <w:proofErr w:type="spellStart"/>
      <w:r w:rsidRPr="00990DE0">
        <w:rPr>
          <w:rFonts w:ascii="Times New Roman" w:hAnsi="Times New Roman" w:cs="Times New Roman"/>
          <w:szCs w:val="24"/>
        </w:rPr>
        <w:t>Genetic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Economic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Gain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2020. </w:t>
      </w:r>
      <w:proofErr w:type="spellStart"/>
      <w:r w:rsidRPr="00990DE0">
        <w:rPr>
          <w:rFonts w:ascii="Times New Roman" w:hAnsi="Times New Roman" w:cs="Times New Roman"/>
          <w:szCs w:val="24"/>
        </w:rPr>
        <w:t>DanBred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Available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from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https://danbred.com/en/breeding-system-uk/breeding-goal-of-the-future/ (</w:t>
      </w:r>
      <w:proofErr w:type="spellStart"/>
      <w:r w:rsidRPr="00990DE0">
        <w:rPr>
          <w:rFonts w:ascii="Times New Roman" w:hAnsi="Times New Roman" w:cs="Times New Roman"/>
          <w:szCs w:val="24"/>
        </w:rPr>
        <w:t>accessed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December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2020).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Ciobanu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DC, </w:t>
      </w:r>
      <w:proofErr w:type="spellStart"/>
      <w:r w:rsidRPr="00990DE0">
        <w:rPr>
          <w:rFonts w:ascii="Times New Roman" w:hAnsi="Times New Roman" w:cs="Times New Roman"/>
          <w:szCs w:val="24"/>
        </w:rPr>
        <w:t>Lonergan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SM, </w:t>
      </w:r>
      <w:proofErr w:type="spellStart"/>
      <w:r w:rsidRPr="00990DE0">
        <w:rPr>
          <w:rFonts w:ascii="Times New Roman" w:hAnsi="Times New Roman" w:cs="Times New Roman"/>
          <w:szCs w:val="24"/>
        </w:rPr>
        <w:t>Huff-Longergar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E. 2011. </w:t>
      </w:r>
      <w:proofErr w:type="spellStart"/>
      <w:r w:rsidRPr="00990DE0">
        <w:rPr>
          <w:rFonts w:ascii="Times New Roman" w:hAnsi="Times New Roman" w:cs="Times New Roman"/>
          <w:szCs w:val="24"/>
        </w:rPr>
        <w:t>Genetics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Meat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Quality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Carcass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Traits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Pages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355–389 in Rothschild MF, </w:t>
      </w:r>
      <w:proofErr w:type="spellStart"/>
      <w:r w:rsidRPr="00990DE0">
        <w:rPr>
          <w:rFonts w:ascii="Times New Roman" w:hAnsi="Times New Roman" w:cs="Times New Roman"/>
          <w:szCs w:val="24"/>
        </w:rPr>
        <w:t>Ruvinsky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990DE0">
        <w:rPr>
          <w:rFonts w:ascii="Times New Roman" w:hAnsi="Times New Roman" w:cs="Times New Roman"/>
          <w:szCs w:val="24"/>
        </w:rPr>
        <w:t>editors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Genetics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Pig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2nd </w:t>
      </w:r>
      <w:proofErr w:type="spellStart"/>
      <w:r w:rsidRPr="00990DE0">
        <w:rPr>
          <w:rFonts w:ascii="Times New Roman" w:hAnsi="Times New Roman" w:cs="Times New Roman"/>
          <w:szCs w:val="24"/>
        </w:rPr>
        <w:t>Edition</w:t>
      </w:r>
      <w:proofErr w:type="spellEnd"/>
      <w:r w:rsidRPr="00990DE0">
        <w:rPr>
          <w:rFonts w:ascii="Times New Roman" w:hAnsi="Times New Roman" w:cs="Times New Roman"/>
          <w:szCs w:val="24"/>
        </w:rPr>
        <w:t>. CABI, London.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Collard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BCY, </w:t>
      </w:r>
      <w:proofErr w:type="spellStart"/>
      <w:r w:rsidRPr="00990DE0">
        <w:rPr>
          <w:rFonts w:ascii="Times New Roman" w:hAnsi="Times New Roman" w:cs="Times New Roman"/>
          <w:szCs w:val="24"/>
        </w:rPr>
        <w:t>Jahufer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MZZ, </w:t>
      </w:r>
      <w:proofErr w:type="spellStart"/>
      <w:r w:rsidRPr="00990DE0">
        <w:rPr>
          <w:rFonts w:ascii="Times New Roman" w:hAnsi="Times New Roman" w:cs="Times New Roman"/>
          <w:szCs w:val="24"/>
        </w:rPr>
        <w:t>Brouwer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JB, </w:t>
      </w:r>
      <w:proofErr w:type="spellStart"/>
      <w:r w:rsidRPr="00990DE0">
        <w:rPr>
          <w:rFonts w:ascii="Times New Roman" w:hAnsi="Times New Roman" w:cs="Times New Roman"/>
          <w:szCs w:val="24"/>
        </w:rPr>
        <w:t>Pang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ECK. 2005. </w:t>
      </w:r>
      <w:proofErr w:type="spellStart"/>
      <w:r w:rsidRPr="00990DE0">
        <w:rPr>
          <w:rFonts w:ascii="Times New Roman" w:hAnsi="Times New Roman" w:cs="Times New Roman"/>
          <w:szCs w:val="24"/>
        </w:rPr>
        <w:t>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introduction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990DE0">
        <w:rPr>
          <w:rFonts w:ascii="Times New Roman" w:hAnsi="Times New Roman" w:cs="Times New Roman"/>
          <w:szCs w:val="24"/>
        </w:rPr>
        <w:t>markers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0DE0">
        <w:rPr>
          <w:rFonts w:ascii="Times New Roman" w:hAnsi="Times New Roman" w:cs="Times New Roman"/>
          <w:szCs w:val="24"/>
        </w:rPr>
        <w:t>quantitative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trait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loci (QTL) </w:t>
      </w:r>
      <w:proofErr w:type="spellStart"/>
      <w:r w:rsidRPr="00990DE0">
        <w:rPr>
          <w:rFonts w:ascii="Times New Roman" w:hAnsi="Times New Roman" w:cs="Times New Roman"/>
          <w:szCs w:val="24"/>
        </w:rPr>
        <w:t>mapping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marker-assisted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for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crop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improvement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basic </w:t>
      </w:r>
      <w:proofErr w:type="spellStart"/>
      <w:r w:rsidRPr="00990DE0">
        <w:rPr>
          <w:rFonts w:ascii="Times New Roman" w:hAnsi="Times New Roman" w:cs="Times New Roman"/>
          <w:szCs w:val="24"/>
        </w:rPr>
        <w:t>concepts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Euphytica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142: 169–196. </w:t>
      </w:r>
      <w:proofErr w:type="spellStart"/>
      <w:r w:rsidRPr="00990DE0">
        <w:rPr>
          <w:rFonts w:ascii="Times New Roman" w:hAnsi="Times New Roman" w:cs="Times New Roman"/>
          <w:szCs w:val="24"/>
        </w:rPr>
        <w:t>Springer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Science and Business Media LLC. DOI: 10.1007/s10681-005-1681-5.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  <w:lang w:val="en-GB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Falconer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DS, </w:t>
      </w:r>
      <w:proofErr w:type="spellStart"/>
      <w:r w:rsidRPr="00990DE0">
        <w:rPr>
          <w:rFonts w:ascii="Times New Roman" w:hAnsi="Times New Roman" w:cs="Times New Roman"/>
          <w:szCs w:val="24"/>
        </w:rPr>
        <w:t>Mackay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TFC. 1995. </w:t>
      </w:r>
      <w:proofErr w:type="spellStart"/>
      <w:r w:rsidRPr="00990DE0">
        <w:rPr>
          <w:rFonts w:ascii="Times New Roman" w:hAnsi="Times New Roman" w:cs="Times New Roman"/>
          <w:szCs w:val="24"/>
        </w:rPr>
        <w:t>Introduction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to </w:t>
      </w:r>
      <w:proofErr w:type="spellStart"/>
      <w:r w:rsidRPr="00990DE0">
        <w:rPr>
          <w:rFonts w:ascii="Times New Roman" w:hAnsi="Times New Roman" w:cs="Times New Roman"/>
          <w:szCs w:val="24"/>
        </w:rPr>
        <w:t>Quantitative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Genetics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Fourth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Edition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Longman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Scientific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r w:rsidRPr="00990DE0">
        <w:rPr>
          <w:rFonts w:ascii="Times New Roman" w:hAnsi="Times New Roman" w:cs="Times New Roman"/>
          <w:szCs w:val="24"/>
          <w:lang w:val="en-GB"/>
        </w:rPr>
        <w:t>&amp; Technical, Harlow.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Ibáñez-Escriche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990DE0">
        <w:rPr>
          <w:rFonts w:ascii="Times New Roman" w:hAnsi="Times New Roman" w:cs="Times New Roman"/>
          <w:szCs w:val="24"/>
        </w:rPr>
        <w:t>Forni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990DE0">
        <w:rPr>
          <w:rFonts w:ascii="Times New Roman" w:hAnsi="Times New Roman" w:cs="Times New Roman"/>
          <w:szCs w:val="24"/>
        </w:rPr>
        <w:t>Noguera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JL, </w:t>
      </w:r>
      <w:proofErr w:type="spellStart"/>
      <w:r w:rsidRPr="00990DE0">
        <w:rPr>
          <w:rFonts w:ascii="Times New Roman" w:hAnsi="Times New Roman" w:cs="Times New Roman"/>
          <w:szCs w:val="24"/>
        </w:rPr>
        <w:t>Varona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L. 2014.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information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990DE0">
        <w:rPr>
          <w:rFonts w:ascii="Times New Roman" w:hAnsi="Times New Roman" w:cs="Times New Roman"/>
          <w:szCs w:val="24"/>
        </w:rPr>
        <w:t>pig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Science </w:t>
      </w:r>
      <w:proofErr w:type="spellStart"/>
      <w:r w:rsidRPr="00990DE0">
        <w:rPr>
          <w:rFonts w:ascii="Times New Roman" w:hAnsi="Times New Roman" w:cs="Times New Roman"/>
          <w:szCs w:val="24"/>
        </w:rPr>
        <w:t>meets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industry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needs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Livestock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Science, 166, 94–100. https://doi.org/10.1016/j.livsci.2014.05.020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Khlestkina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EK. 2014. </w:t>
      </w:r>
      <w:proofErr w:type="spellStart"/>
      <w:r w:rsidRPr="00990DE0">
        <w:rPr>
          <w:rFonts w:ascii="Times New Roman" w:hAnsi="Times New Roman" w:cs="Times New Roman"/>
          <w:szCs w:val="24"/>
        </w:rPr>
        <w:t>Molecular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markers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990DE0">
        <w:rPr>
          <w:rFonts w:ascii="Times New Roman" w:hAnsi="Times New Roman" w:cs="Times New Roman"/>
          <w:szCs w:val="24"/>
        </w:rPr>
        <w:t>genetic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studies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Russian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Genetics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Applied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Research</w:t>
      </w:r>
      <w:proofErr w:type="spellEnd"/>
      <w:r w:rsidRPr="00990DE0">
        <w:rPr>
          <w:rFonts w:ascii="Times New Roman" w:hAnsi="Times New Roman" w:cs="Times New Roman"/>
          <w:szCs w:val="24"/>
        </w:rPr>
        <w:t>. 4 (3). 236–244. https://doi.org/10.1134/s2079059714030022.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Knol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EF, </w:t>
      </w:r>
      <w:proofErr w:type="spellStart"/>
      <w:r w:rsidRPr="00990DE0">
        <w:rPr>
          <w:rFonts w:ascii="Times New Roman" w:hAnsi="Times New Roman" w:cs="Times New Roman"/>
          <w:szCs w:val="24"/>
        </w:rPr>
        <w:t>Nielsen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B, Knap PW. 2016.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990DE0">
        <w:rPr>
          <w:rFonts w:ascii="Times New Roman" w:hAnsi="Times New Roman" w:cs="Times New Roman"/>
          <w:szCs w:val="24"/>
        </w:rPr>
        <w:t>commercial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pig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Animal </w:t>
      </w:r>
      <w:proofErr w:type="spellStart"/>
      <w:r w:rsidRPr="00990DE0">
        <w:rPr>
          <w:rFonts w:ascii="Times New Roman" w:hAnsi="Times New Roman" w:cs="Times New Roman"/>
          <w:szCs w:val="24"/>
        </w:rPr>
        <w:t>Frontiers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6: 15–22. Oxford University </w:t>
      </w:r>
      <w:proofErr w:type="spellStart"/>
      <w:r w:rsidRPr="00990DE0">
        <w:rPr>
          <w:rFonts w:ascii="Times New Roman" w:hAnsi="Times New Roman" w:cs="Times New Roman"/>
          <w:szCs w:val="24"/>
        </w:rPr>
        <w:t>Press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(OUP). </w:t>
      </w:r>
      <w:proofErr w:type="spellStart"/>
      <w:r w:rsidRPr="00990DE0">
        <w:rPr>
          <w:rFonts w:ascii="Times New Roman" w:hAnsi="Times New Roman" w:cs="Times New Roman"/>
          <w:szCs w:val="24"/>
        </w:rPr>
        <w:t>doi</w:t>
      </w:r>
      <w:proofErr w:type="spellEnd"/>
      <w:r w:rsidRPr="00990DE0">
        <w:rPr>
          <w:rFonts w:ascii="Times New Roman" w:hAnsi="Times New Roman" w:cs="Times New Roman"/>
          <w:szCs w:val="24"/>
        </w:rPr>
        <w:t>: 10.2527/af.2016-0003.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Lopes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MS, </w:t>
      </w:r>
      <w:proofErr w:type="spellStart"/>
      <w:r w:rsidRPr="00990DE0">
        <w:rPr>
          <w:rFonts w:ascii="Times New Roman" w:hAnsi="Times New Roman" w:cs="Times New Roman"/>
          <w:szCs w:val="24"/>
        </w:rPr>
        <w:t>Bastiaansen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JWM, </w:t>
      </w:r>
      <w:proofErr w:type="spellStart"/>
      <w:r w:rsidRPr="00990DE0">
        <w:rPr>
          <w:rFonts w:ascii="Times New Roman" w:hAnsi="Times New Roman" w:cs="Times New Roman"/>
          <w:szCs w:val="24"/>
        </w:rPr>
        <w:t>JanssL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0DE0">
        <w:rPr>
          <w:rFonts w:ascii="Times New Roman" w:hAnsi="Times New Roman" w:cs="Times New Roman"/>
          <w:szCs w:val="24"/>
        </w:rPr>
        <w:t>Knol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EF, </w:t>
      </w:r>
      <w:proofErr w:type="spellStart"/>
      <w:r w:rsidRPr="00990DE0">
        <w:rPr>
          <w:rFonts w:ascii="Times New Roman" w:hAnsi="Times New Roman" w:cs="Times New Roman"/>
          <w:szCs w:val="24"/>
        </w:rPr>
        <w:t>Bovenhuis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H. 2015. </w:t>
      </w:r>
      <w:proofErr w:type="spellStart"/>
      <w:r w:rsidRPr="00990DE0">
        <w:rPr>
          <w:rFonts w:ascii="Times New Roman" w:hAnsi="Times New Roman" w:cs="Times New Roman"/>
          <w:szCs w:val="24"/>
        </w:rPr>
        <w:t>Estimation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Additive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Dominance, and Imprinting </w:t>
      </w:r>
      <w:proofErr w:type="spellStart"/>
      <w:r w:rsidRPr="00990DE0">
        <w:rPr>
          <w:rFonts w:ascii="Times New Roman" w:hAnsi="Times New Roman" w:cs="Times New Roman"/>
          <w:szCs w:val="24"/>
        </w:rPr>
        <w:t>Genetic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Variance </w:t>
      </w:r>
      <w:proofErr w:type="spellStart"/>
      <w:r w:rsidRPr="00990DE0">
        <w:rPr>
          <w:rFonts w:ascii="Times New Roman" w:hAnsi="Times New Roman" w:cs="Times New Roman"/>
          <w:szCs w:val="24"/>
        </w:rPr>
        <w:t>Using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Data. </w:t>
      </w:r>
      <w:proofErr w:type="spellStart"/>
      <w:r w:rsidRPr="00990DE0">
        <w:rPr>
          <w:rFonts w:ascii="Times New Roman" w:hAnsi="Times New Roman" w:cs="Times New Roman"/>
          <w:szCs w:val="24"/>
        </w:rPr>
        <w:t>GGenetics</w:t>
      </w:r>
      <w:proofErr w:type="spellEnd"/>
      <w:r w:rsidRPr="00990DE0">
        <w:rPr>
          <w:rFonts w:ascii="Times New Roman" w:hAnsi="Times New Roman" w:cs="Times New Roman"/>
          <w:szCs w:val="24"/>
        </w:rPr>
        <w:t>, 5(12), 2629–2637. https://doi.org/10.1534/g3.115.01951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Maximizing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genetic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gain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2020. PIC. </w:t>
      </w:r>
      <w:proofErr w:type="spellStart"/>
      <w:r w:rsidRPr="00990DE0">
        <w:rPr>
          <w:rFonts w:ascii="Times New Roman" w:hAnsi="Times New Roman" w:cs="Times New Roman"/>
          <w:szCs w:val="24"/>
        </w:rPr>
        <w:t>Available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from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https://</w:t>
      </w:r>
      <w:proofErr w:type="gramStart"/>
      <w:r w:rsidRPr="00990DE0">
        <w:rPr>
          <w:rFonts w:ascii="Times New Roman" w:hAnsi="Times New Roman" w:cs="Times New Roman"/>
          <w:szCs w:val="24"/>
        </w:rPr>
        <w:t>www</w:t>
      </w:r>
      <w:proofErr w:type="gramEnd"/>
      <w:r w:rsidRPr="00990DE0">
        <w:rPr>
          <w:rFonts w:ascii="Times New Roman" w:hAnsi="Times New Roman" w:cs="Times New Roman"/>
          <w:szCs w:val="24"/>
        </w:rPr>
        <w:t>.</w:t>
      </w:r>
      <w:proofErr w:type="gramStart"/>
      <w:r w:rsidRPr="00990DE0">
        <w:rPr>
          <w:rFonts w:ascii="Times New Roman" w:hAnsi="Times New Roman" w:cs="Times New Roman"/>
          <w:szCs w:val="24"/>
        </w:rPr>
        <w:t>pic</w:t>
      </w:r>
      <w:proofErr w:type="gramEnd"/>
      <w:r w:rsidRPr="00990DE0">
        <w:rPr>
          <w:rFonts w:ascii="Times New Roman" w:hAnsi="Times New Roman" w:cs="Times New Roman"/>
          <w:szCs w:val="24"/>
        </w:rPr>
        <w:t>.com/services/data-capture/ (</w:t>
      </w:r>
      <w:proofErr w:type="spellStart"/>
      <w:r w:rsidRPr="00990DE0">
        <w:rPr>
          <w:rFonts w:ascii="Times New Roman" w:hAnsi="Times New Roman" w:cs="Times New Roman"/>
          <w:szCs w:val="24"/>
        </w:rPr>
        <w:t>accessed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December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2020).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Meuwissen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T, </w:t>
      </w:r>
      <w:proofErr w:type="spellStart"/>
      <w:r w:rsidRPr="00990DE0">
        <w:rPr>
          <w:rFonts w:ascii="Times New Roman" w:hAnsi="Times New Roman" w:cs="Times New Roman"/>
          <w:szCs w:val="24"/>
        </w:rPr>
        <w:t>Hayes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B, </w:t>
      </w:r>
      <w:proofErr w:type="spellStart"/>
      <w:r w:rsidRPr="00990DE0">
        <w:rPr>
          <w:rFonts w:ascii="Times New Roman" w:hAnsi="Times New Roman" w:cs="Times New Roman"/>
          <w:szCs w:val="24"/>
        </w:rPr>
        <w:t>Goddard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M. 2016.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A </w:t>
      </w:r>
      <w:proofErr w:type="spellStart"/>
      <w:r w:rsidRPr="00990DE0">
        <w:rPr>
          <w:rFonts w:ascii="Times New Roman" w:hAnsi="Times New Roman" w:cs="Times New Roman"/>
          <w:szCs w:val="24"/>
        </w:rPr>
        <w:t>paradigm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shift in animal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Animal </w:t>
      </w:r>
      <w:proofErr w:type="spellStart"/>
      <w:r w:rsidRPr="00990DE0">
        <w:rPr>
          <w:rFonts w:ascii="Times New Roman" w:hAnsi="Times New Roman" w:cs="Times New Roman"/>
          <w:szCs w:val="24"/>
        </w:rPr>
        <w:t>Frontiers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6(1), 6–14. </w:t>
      </w:r>
      <w:hyperlink r:id="rId4" w:history="1">
        <w:r w:rsidRPr="00990DE0">
          <w:rPr>
            <w:rStyle w:val="Hypertextovodkaz"/>
            <w:rFonts w:ascii="Times New Roman" w:hAnsi="Times New Roman" w:cs="Times New Roman"/>
            <w:szCs w:val="24"/>
          </w:rPr>
          <w:t>https://doi.org/10.2527/af.2016-0002</w:t>
        </w:r>
      </w:hyperlink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Misztal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I, </w:t>
      </w:r>
      <w:proofErr w:type="spellStart"/>
      <w:r w:rsidRPr="00990DE0">
        <w:rPr>
          <w:rFonts w:ascii="Times New Roman" w:hAnsi="Times New Roman" w:cs="Times New Roman"/>
          <w:szCs w:val="24"/>
        </w:rPr>
        <w:t>Lourenco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D, </w:t>
      </w:r>
      <w:proofErr w:type="spellStart"/>
      <w:r w:rsidRPr="00990DE0">
        <w:rPr>
          <w:rFonts w:ascii="Times New Roman" w:hAnsi="Times New Roman" w:cs="Times New Roman"/>
          <w:szCs w:val="24"/>
        </w:rPr>
        <w:t>Legarra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A. 2020. </w:t>
      </w:r>
      <w:proofErr w:type="spellStart"/>
      <w:r w:rsidRPr="00990DE0">
        <w:rPr>
          <w:rFonts w:ascii="Times New Roman" w:hAnsi="Times New Roman" w:cs="Times New Roman"/>
          <w:szCs w:val="24"/>
        </w:rPr>
        <w:t>Current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status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evaluation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Science, 98(4). </w:t>
      </w:r>
      <w:hyperlink r:id="rId5" w:history="1">
        <w:r w:rsidRPr="00990DE0">
          <w:rPr>
            <w:rStyle w:val="Hypertextovodkaz"/>
            <w:rFonts w:ascii="Times New Roman" w:hAnsi="Times New Roman" w:cs="Times New Roman"/>
            <w:szCs w:val="24"/>
          </w:rPr>
          <w:t>https://doi.org/10.1093/jas/skaa101</w:t>
        </w:r>
      </w:hyperlink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lastRenderedPageBreak/>
        <w:t>Mrode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RA. 2005. </w:t>
      </w:r>
      <w:proofErr w:type="spellStart"/>
      <w:r w:rsidRPr="00990DE0">
        <w:rPr>
          <w:rFonts w:ascii="Times New Roman" w:hAnsi="Times New Roman" w:cs="Times New Roman"/>
          <w:szCs w:val="24"/>
        </w:rPr>
        <w:t>Linear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Models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for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Prediction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Values</w:t>
      </w:r>
      <w:proofErr w:type="spellEnd"/>
      <w:r w:rsidRPr="00990DE0">
        <w:rPr>
          <w:rFonts w:ascii="Times New Roman" w:hAnsi="Times New Roman" w:cs="Times New Roman"/>
          <w:szCs w:val="24"/>
        </w:rPr>
        <w:t>. CABI, London.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Pig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QTL/</w:t>
      </w:r>
      <w:proofErr w:type="spellStart"/>
      <w:r w:rsidRPr="00990DE0">
        <w:rPr>
          <w:rFonts w:ascii="Times New Roman" w:hAnsi="Times New Roman" w:cs="Times New Roman"/>
          <w:szCs w:val="24"/>
        </w:rPr>
        <w:t>associations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data </w:t>
      </w:r>
      <w:proofErr w:type="spellStart"/>
      <w:r w:rsidRPr="00990DE0">
        <w:rPr>
          <w:rFonts w:ascii="Times New Roman" w:hAnsi="Times New Roman" w:cs="Times New Roman"/>
          <w:szCs w:val="24"/>
        </w:rPr>
        <w:t>summary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2020. Animal Genome. </w:t>
      </w:r>
      <w:proofErr w:type="spellStart"/>
      <w:r w:rsidRPr="00990DE0">
        <w:rPr>
          <w:rFonts w:ascii="Times New Roman" w:hAnsi="Times New Roman" w:cs="Times New Roman"/>
          <w:szCs w:val="24"/>
        </w:rPr>
        <w:t>Available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from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https://www.animalgenome.org/cgi-bin/QTLdb/SS/summary (</w:t>
      </w:r>
      <w:proofErr w:type="spellStart"/>
      <w:r w:rsidRPr="00990DE0">
        <w:rPr>
          <w:rFonts w:ascii="Times New Roman" w:hAnsi="Times New Roman" w:cs="Times New Roman"/>
          <w:szCs w:val="24"/>
        </w:rPr>
        <w:t>accessed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December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2020).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Samorè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AB, </w:t>
      </w:r>
      <w:proofErr w:type="spellStart"/>
      <w:r w:rsidRPr="00990DE0">
        <w:rPr>
          <w:rFonts w:ascii="Times New Roman" w:hAnsi="Times New Roman" w:cs="Times New Roman"/>
          <w:szCs w:val="24"/>
        </w:rPr>
        <w:t>Fontanesi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L. 2016.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990DE0">
        <w:rPr>
          <w:rFonts w:ascii="Times New Roman" w:hAnsi="Times New Roman" w:cs="Times New Roman"/>
          <w:szCs w:val="24"/>
        </w:rPr>
        <w:t>pigs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state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art and </w:t>
      </w:r>
      <w:proofErr w:type="spellStart"/>
      <w:r w:rsidRPr="00990DE0">
        <w:rPr>
          <w:rFonts w:ascii="Times New Roman" w:hAnsi="Times New Roman" w:cs="Times New Roman"/>
          <w:szCs w:val="24"/>
        </w:rPr>
        <w:t>perspectives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Italian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Science, 15(2), 211–232. </w:t>
      </w:r>
      <w:hyperlink r:id="rId6" w:history="1">
        <w:r w:rsidRPr="00990DE0">
          <w:rPr>
            <w:rStyle w:val="Hypertextovodkaz"/>
            <w:rFonts w:ascii="Times New Roman" w:hAnsi="Times New Roman" w:cs="Times New Roman"/>
            <w:szCs w:val="24"/>
          </w:rPr>
          <w:t>https://doi.org/10.1080/1828051x.2016.1172034</w:t>
        </w:r>
      </w:hyperlink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Teama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S. 2013. DNA </w:t>
      </w:r>
      <w:proofErr w:type="spellStart"/>
      <w:r w:rsidRPr="00990DE0">
        <w:rPr>
          <w:rFonts w:ascii="Times New Roman" w:hAnsi="Times New Roman" w:cs="Times New Roman"/>
          <w:szCs w:val="24"/>
        </w:rPr>
        <w:t>Polymorphisms</w:t>
      </w:r>
      <w:proofErr w:type="spellEnd"/>
      <w:r w:rsidRPr="00990DE0">
        <w:rPr>
          <w:rFonts w:ascii="Times New Roman" w:hAnsi="Times New Roman" w:cs="Times New Roman"/>
          <w:szCs w:val="24"/>
        </w:rPr>
        <w:t>: DNA-</w:t>
      </w:r>
      <w:proofErr w:type="spellStart"/>
      <w:r w:rsidRPr="00990DE0">
        <w:rPr>
          <w:rFonts w:ascii="Times New Roman" w:hAnsi="Times New Roman" w:cs="Times New Roman"/>
          <w:szCs w:val="24"/>
        </w:rPr>
        <w:t>Based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Molecular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Markers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Their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Application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990DE0">
        <w:rPr>
          <w:rFonts w:ascii="Times New Roman" w:hAnsi="Times New Roman" w:cs="Times New Roman"/>
          <w:szCs w:val="24"/>
        </w:rPr>
        <w:t>Medicine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In </w:t>
      </w:r>
      <w:proofErr w:type="spellStart"/>
      <w:r w:rsidRPr="00990DE0">
        <w:rPr>
          <w:rFonts w:ascii="Times New Roman" w:hAnsi="Times New Roman" w:cs="Times New Roman"/>
          <w:szCs w:val="24"/>
        </w:rPr>
        <w:t>Liu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Y, editor. </w:t>
      </w:r>
      <w:proofErr w:type="spellStart"/>
      <w:r w:rsidRPr="00990DE0">
        <w:rPr>
          <w:rFonts w:ascii="Times New Roman" w:hAnsi="Times New Roman" w:cs="Times New Roman"/>
          <w:szCs w:val="24"/>
        </w:rPr>
        <w:t>Genetic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Diversity and </w:t>
      </w:r>
      <w:proofErr w:type="spellStart"/>
      <w:r w:rsidRPr="00990DE0">
        <w:rPr>
          <w:rFonts w:ascii="Times New Roman" w:hAnsi="Times New Roman" w:cs="Times New Roman"/>
          <w:szCs w:val="24"/>
        </w:rPr>
        <w:t>Disease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Susceptibility. </w:t>
      </w:r>
      <w:proofErr w:type="spellStart"/>
      <w:r w:rsidRPr="00990DE0">
        <w:rPr>
          <w:rFonts w:ascii="Times New Roman" w:hAnsi="Times New Roman" w:cs="Times New Roman"/>
          <w:szCs w:val="24"/>
        </w:rPr>
        <w:t>IntechOpen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szCs w:val="24"/>
        </w:rPr>
        <w:t xml:space="preserve">Van </w:t>
      </w:r>
      <w:proofErr w:type="spellStart"/>
      <w:r w:rsidRPr="00990DE0">
        <w:rPr>
          <w:rFonts w:ascii="Times New Roman" w:hAnsi="Times New Roman" w:cs="Times New Roman"/>
          <w:szCs w:val="24"/>
        </w:rPr>
        <w:t>Eenennaam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AL, </w:t>
      </w:r>
      <w:proofErr w:type="spellStart"/>
      <w:r w:rsidRPr="00990DE0">
        <w:rPr>
          <w:rFonts w:ascii="Times New Roman" w:hAnsi="Times New Roman" w:cs="Times New Roman"/>
          <w:szCs w:val="24"/>
        </w:rPr>
        <w:t>Weigel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KA, </w:t>
      </w:r>
      <w:proofErr w:type="spellStart"/>
      <w:r w:rsidRPr="00990DE0">
        <w:rPr>
          <w:rFonts w:ascii="Times New Roman" w:hAnsi="Times New Roman" w:cs="Times New Roman"/>
          <w:szCs w:val="24"/>
        </w:rPr>
        <w:t>Young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AE, Cleveland MA, </w:t>
      </w:r>
      <w:proofErr w:type="spellStart"/>
      <w:r w:rsidRPr="00990DE0">
        <w:rPr>
          <w:rFonts w:ascii="Times New Roman" w:hAnsi="Times New Roman" w:cs="Times New Roman"/>
          <w:szCs w:val="24"/>
        </w:rPr>
        <w:t>Dekkers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JCM. 2014. </w:t>
      </w:r>
      <w:proofErr w:type="spellStart"/>
      <w:r w:rsidRPr="00990DE0">
        <w:rPr>
          <w:rFonts w:ascii="Times New Roman" w:hAnsi="Times New Roman" w:cs="Times New Roman"/>
          <w:szCs w:val="24"/>
        </w:rPr>
        <w:t>Applied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</w:t>
      </w:r>
      <w:proofErr w:type="spellStart"/>
      <w:r w:rsidRPr="00990DE0">
        <w:rPr>
          <w:rFonts w:ascii="Times New Roman" w:hAnsi="Times New Roman" w:cs="Times New Roman"/>
          <w:szCs w:val="24"/>
        </w:rPr>
        <w:t>Genomics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90DE0">
        <w:rPr>
          <w:rFonts w:ascii="Times New Roman" w:hAnsi="Times New Roman" w:cs="Times New Roman"/>
          <w:szCs w:val="24"/>
        </w:rPr>
        <w:t>Results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from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Field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Annual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Review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</w:t>
      </w:r>
      <w:proofErr w:type="spellStart"/>
      <w:r w:rsidRPr="00990DE0">
        <w:rPr>
          <w:rFonts w:ascii="Times New Roman" w:hAnsi="Times New Roman" w:cs="Times New Roman"/>
          <w:szCs w:val="24"/>
        </w:rPr>
        <w:t>Biosciences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2 (1), 105–139. </w:t>
      </w:r>
      <w:proofErr w:type="spellStart"/>
      <w:r w:rsidRPr="00990DE0">
        <w:rPr>
          <w:rFonts w:ascii="Times New Roman" w:hAnsi="Times New Roman" w:cs="Times New Roman"/>
          <w:szCs w:val="24"/>
        </w:rPr>
        <w:t>doi</w:t>
      </w:r>
      <w:proofErr w:type="spellEnd"/>
      <w:r w:rsidRPr="00990DE0">
        <w:rPr>
          <w:rFonts w:ascii="Times New Roman" w:hAnsi="Times New Roman" w:cs="Times New Roman"/>
          <w:szCs w:val="24"/>
        </w:rPr>
        <w:t>: 10.1146/annurev-animal-022513-114119.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Wakchaure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990DE0">
        <w:rPr>
          <w:rFonts w:ascii="Times New Roman" w:hAnsi="Times New Roman" w:cs="Times New Roman"/>
          <w:szCs w:val="24"/>
        </w:rPr>
        <w:t>Ganguly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990DE0">
        <w:rPr>
          <w:rFonts w:ascii="Times New Roman" w:hAnsi="Times New Roman" w:cs="Times New Roman"/>
          <w:szCs w:val="24"/>
        </w:rPr>
        <w:t>Praveen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990DE0">
        <w:rPr>
          <w:rFonts w:ascii="Times New Roman" w:hAnsi="Times New Roman" w:cs="Times New Roman"/>
          <w:szCs w:val="24"/>
        </w:rPr>
        <w:t>Kumar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990DE0">
        <w:rPr>
          <w:rFonts w:ascii="Times New Roman" w:hAnsi="Times New Roman" w:cs="Times New Roman"/>
          <w:szCs w:val="24"/>
        </w:rPr>
        <w:t>Sharma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990DE0">
        <w:rPr>
          <w:rFonts w:ascii="Times New Roman" w:hAnsi="Times New Roman" w:cs="Times New Roman"/>
          <w:szCs w:val="24"/>
        </w:rPr>
        <w:t>Mahajan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T. (2015). </w:t>
      </w:r>
      <w:proofErr w:type="spellStart"/>
      <w:r w:rsidRPr="00990DE0">
        <w:rPr>
          <w:rFonts w:ascii="Times New Roman" w:hAnsi="Times New Roman" w:cs="Times New Roman"/>
          <w:szCs w:val="24"/>
        </w:rPr>
        <w:t>Marker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Assisted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(MAS) in Animal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A </w:t>
      </w:r>
      <w:proofErr w:type="spellStart"/>
      <w:r w:rsidRPr="00990DE0">
        <w:rPr>
          <w:rFonts w:ascii="Times New Roman" w:hAnsi="Times New Roman" w:cs="Times New Roman"/>
          <w:szCs w:val="24"/>
        </w:rPr>
        <w:t>Review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Drug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Metabolism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990DE0">
        <w:rPr>
          <w:rFonts w:ascii="Times New Roman" w:hAnsi="Times New Roman" w:cs="Times New Roman"/>
          <w:szCs w:val="24"/>
        </w:rPr>
        <w:t>Toxicology</w:t>
      </w:r>
      <w:proofErr w:type="spellEnd"/>
      <w:r w:rsidRPr="00990DE0">
        <w:rPr>
          <w:rFonts w:ascii="Times New Roman" w:hAnsi="Times New Roman" w:cs="Times New Roman"/>
          <w:szCs w:val="24"/>
        </w:rPr>
        <w:t>, 06(05). https://doi.org/10.4172/2157-7609.1000e127</w:t>
      </w:r>
    </w:p>
    <w:p w:rsidR="00483E4E" w:rsidRPr="00990DE0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Weigel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K. 2017. </w:t>
      </w:r>
      <w:proofErr w:type="spellStart"/>
      <w:r w:rsidRPr="00990DE0">
        <w:rPr>
          <w:rFonts w:ascii="Times New Roman" w:hAnsi="Times New Roman" w:cs="Times New Roman"/>
          <w:szCs w:val="24"/>
        </w:rPr>
        <w:t>Genomic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selection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dairy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cattle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: A </w:t>
      </w:r>
      <w:proofErr w:type="spellStart"/>
      <w:r w:rsidRPr="00990DE0">
        <w:rPr>
          <w:rFonts w:ascii="Times New Roman" w:hAnsi="Times New Roman" w:cs="Times New Roman"/>
          <w:szCs w:val="24"/>
        </w:rPr>
        <w:t>review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methods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90DE0">
        <w:rPr>
          <w:rFonts w:ascii="Times New Roman" w:hAnsi="Times New Roman" w:cs="Times New Roman"/>
          <w:szCs w:val="24"/>
        </w:rPr>
        <w:t>strategies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, and </w:t>
      </w:r>
      <w:proofErr w:type="spellStart"/>
      <w:r w:rsidRPr="00990DE0">
        <w:rPr>
          <w:rFonts w:ascii="Times New Roman" w:hAnsi="Times New Roman" w:cs="Times New Roman"/>
          <w:szCs w:val="24"/>
        </w:rPr>
        <w:t>impact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</w:t>
      </w:r>
      <w:proofErr w:type="spellStart"/>
      <w:r w:rsidRPr="00990DE0">
        <w:rPr>
          <w:rFonts w:ascii="Times New Roman" w:hAnsi="Times New Roman" w:cs="Times New Roman"/>
          <w:szCs w:val="24"/>
        </w:rPr>
        <w:t>Breeding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990DE0">
        <w:rPr>
          <w:rFonts w:ascii="Times New Roman" w:hAnsi="Times New Roman" w:cs="Times New Roman"/>
          <w:szCs w:val="24"/>
        </w:rPr>
        <w:t>Genomics</w:t>
      </w:r>
      <w:proofErr w:type="spellEnd"/>
      <w:r w:rsidRPr="00990DE0">
        <w:rPr>
          <w:rFonts w:ascii="Times New Roman" w:hAnsi="Times New Roman" w:cs="Times New Roman"/>
          <w:szCs w:val="24"/>
        </w:rPr>
        <w:t>, 1(1). https://doi.org/10.12972/jabng.20170001</w:t>
      </w:r>
    </w:p>
    <w:p w:rsidR="00483E4E" w:rsidRDefault="00483E4E" w:rsidP="00483E4E">
      <w:pPr>
        <w:rPr>
          <w:rFonts w:ascii="Times New Roman" w:hAnsi="Times New Roman" w:cs="Times New Roman"/>
          <w:szCs w:val="24"/>
        </w:rPr>
      </w:pPr>
      <w:proofErr w:type="spellStart"/>
      <w:r w:rsidRPr="00990DE0">
        <w:rPr>
          <w:rFonts w:ascii="Times New Roman" w:hAnsi="Times New Roman" w:cs="Times New Roman"/>
          <w:szCs w:val="24"/>
        </w:rPr>
        <w:t>Yang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W, </w:t>
      </w:r>
      <w:proofErr w:type="spellStart"/>
      <w:r w:rsidRPr="00990DE0">
        <w:rPr>
          <w:rFonts w:ascii="Times New Roman" w:hAnsi="Times New Roman" w:cs="Times New Roman"/>
          <w:szCs w:val="24"/>
        </w:rPr>
        <w:t>Kang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X, </w:t>
      </w:r>
      <w:proofErr w:type="spellStart"/>
      <w:r w:rsidRPr="00990DE0">
        <w:rPr>
          <w:rFonts w:ascii="Times New Roman" w:hAnsi="Times New Roman" w:cs="Times New Roman"/>
          <w:szCs w:val="24"/>
        </w:rPr>
        <w:t>Yang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Q, Lin Y, Fang M. 2013. </w:t>
      </w:r>
      <w:proofErr w:type="spellStart"/>
      <w:r w:rsidRPr="00990DE0">
        <w:rPr>
          <w:rFonts w:ascii="Times New Roman" w:hAnsi="Times New Roman" w:cs="Times New Roman"/>
          <w:szCs w:val="24"/>
        </w:rPr>
        <w:t>Review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on </w:t>
      </w:r>
      <w:proofErr w:type="spellStart"/>
      <w:r w:rsidRPr="00990DE0">
        <w:rPr>
          <w:rFonts w:ascii="Times New Roman" w:hAnsi="Times New Roman" w:cs="Times New Roman"/>
          <w:szCs w:val="24"/>
        </w:rPr>
        <w:t>the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development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genotyping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methods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for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assessing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farm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diversity. </w:t>
      </w:r>
      <w:proofErr w:type="spellStart"/>
      <w:r w:rsidRPr="00990DE0">
        <w:rPr>
          <w:rFonts w:ascii="Times New Roman" w:hAnsi="Times New Roman" w:cs="Times New Roman"/>
          <w:szCs w:val="24"/>
        </w:rPr>
        <w:t>Journal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90DE0">
        <w:rPr>
          <w:rFonts w:ascii="Times New Roman" w:hAnsi="Times New Roman" w:cs="Times New Roman"/>
          <w:szCs w:val="24"/>
        </w:rPr>
        <w:t>of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Animal Science and Biotechnology 4. </w:t>
      </w:r>
      <w:proofErr w:type="spellStart"/>
      <w:r w:rsidRPr="00990DE0">
        <w:rPr>
          <w:rFonts w:ascii="Times New Roman" w:hAnsi="Times New Roman" w:cs="Times New Roman"/>
          <w:szCs w:val="24"/>
        </w:rPr>
        <w:t>Springer</w:t>
      </w:r>
      <w:proofErr w:type="spellEnd"/>
      <w:r w:rsidRPr="00990DE0">
        <w:rPr>
          <w:rFonts w:ascii="Times New Roman" w:hAnsi="Times New Roman" w:cs="Times New Roman"/>
          <w:szCs w:val="24"/>
        </w:rPr>
        <w:t xml:space="preserve"> Science and Business Media LLC. DOI: 10.1186/2049-1891- 4-2.</w:t>
      </w:r>
    </w:p>
    <w:p w:rsidR="00990DE0" w:rsidRDefault="00990DE0" w:rsidP="00990DE0">
      <w:pPr>
        <w:ind w:firstLine="0"/>
        <w:rPr>
          <w:rFonts w:ascii="Times New Roman" w:hAnsi="Times New Roman" w:cs="Times New Roman"/>
          <w:szCs w:val="24"/>
        </w:rPr>
      </w:pPr>
    </w:p>
    <w:p w:rsidR="00990DE0" w:rsidRPr="00990DE0" w:rsidRDefault="00990DE0" w:rsidP="00990DE0">
      <w:pPr>
        <w:ind w:firstLine="0"/>
        <w:rPr>
          <w:rFonts w:ascii="Times New Roman" w:hAnsi="Times New Roman" w:cs="Times New Roman"/>
          <w:szCs w:val="24"/>
        </w:rPr>
      </w:pPr>
      <w:r w:rsidRPr="00990DE0">
        <w:rPr>
          <w:rFonts w:ascii="Times New Roman" w:hAnsi="Times New Roman" w:cs="Times New Roman"/>
          <w:b/>
          <w:szCs w:val="24"/>
        </w:rPr>
        <w:t>Zpracoval</w:t>
      </w:r>
      <w:r>
        <w:rPr>
          <w:rFonts w:ascii="Times New Roman" w:hAnsi="Times New Roman" w:cs="Times New Roman"/>
          <w:szCs w:val="24"/>
        </w:rPr>
        <w:t>: doc. Ing. Jaroslav Čítek, Ph.D., Česká zemědělská univerzita v Praze, citek@af.czu.cz</w:t>
      </w:r>
    </w:p>
    <w:p w:rsidR="00CA2E88" w:rsidRPr="00990DE0" w:rsidRDefault="00CA2E88" w:rsidP="00483E4E">
      <w:pPr>
        <w:rPr>
          <w:rFonts w:ascii="Times New Roman" w:hAnsi="Times New Roman" w:cs="Times New Roman"/>
          <w:szCs w:val="24"/>
        </w:rPr>
      </w:pPr>
    </w:p>
    <w:sectPr w:rsidR="00CA2E88" w:rsidRPr="0099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2"/>
    <w:rsid w:val="00085A0F"/>
    <w:rsid w:val="00126B07"/>
    <w:rsid w:val="002053C9"/>
    <w:rsid w:val="003628E6"/>
    <w:rsid w:val="003C107F"/>
    <w:rsid w:val="00421CB3"/>
    <w:rsid w:val="00424474"/>
    <w:rsid w:val="004409DC"/>
    <w:rsid w:val="004721C0"/>
    <w:rsid w:val="00483E4E"/>
    <w:rsid w:val="004A11D0"/>
    <w:rsid w:val="004E7A81"/>
    <w:rsid w:val="00694D9D"/>
    <w:rsid w:val="006C654E"/>
    <w:rsid w:val="007431AB"/>
    <w:rsid w:val="00787C32"/>
    <w:rsid w:val="008705EF"/>
    <w:rsid w:val="00963FD3"/>
    <w:rsid w:val="00990DE0"/>
    <w:rsid w:val="009F69C2"/>
    <w:rsid w:val="00AF1042"/>
    <w:rsid w:val="00B73053"/>
    <w:rsid w:val="00B8603B"/>
    <w:rsid w:val="00BC6B17"/>
    <w:rsid w:val="00BD456A"/>
    <w:rsid w:val="00CA2E88"/>
    <w:rsid w:val="00CA55F4"/>
    <w:rsid w:val="00D059CF"/>
    <w:rsid w:val="00D96398"/>
    <w:rsid w:val="00DA358F"/>
    <w:rsid w:val="00EC699A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7394-8305-43D2-BB6B-F0C95D7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E4E"/>
    <w:pPr>
      <w:spacing w:line="360" w:lineRule="auto"/>
      <w:ind w:firstLine="709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C2"/>
    <w:pPr>
      <w:keepNext/>
      <w:keepLines/>
      <w:spacing w:before="240" w:after="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7A81"/>
    <w:pPr>
      <w:keepNext/>
      <w:keepLines/>
      <w:spacing w:before="40" w:after="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456A"/>
    <w:pPr>
      <w:keepNext/>
      <w:keepLines/>
      <w:spacing w:before="40" w:after="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69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E7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4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69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70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74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70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53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15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4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34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34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73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33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21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75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0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58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0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0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70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56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434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7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828051x.2016.1172034" TargetMode="External"/><Relationship Id="rId5" Type="http://schemas.openxmlformats.org/officeDocument/2006/relationships/hyperlink" Target="https://doi.org/10.1093/jas/skaa101" TargetMode="External"/><Relationship Id="rId4" Type="http://schemas.openxmlformats.org/officeDocument/2006/relationships/hyperlink" Target="https://doi.org/10.2527/af.2016-000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1893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Čítek Jaroslav</dc:creator>
  <cp:keywords/>
  <dc:description/>
  <cp:lastModifiedBy>Martina  Doležalová</cp:lastModifiedBy>
  <cp:revision>17</cp:revision>
  <dcterms:created xsi:type="dcterms:W3CDTF">2020-12-01T08:52:00Z</dcterms:created>
  <dcterms:modified xsi:type="dcterms:W3CDTF">2021-01-11T23:36:00Z</dcterms:modified>
</cp:coreProperties>
</file>