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A9E" w:rsidRPr="000B53CD" w:rsidRDefault="007F0A9E" w:rsidP="007F0A9E">
      <w:pPr>
        <w:spacing w:after="120" w:line="264" w:lineRule="auto"/>
        <w:rPr>
          <w:rFonts w:cs="Times New Roman"/>
          <w:b/>
          <w:szCs w:val="24"/>
          <w:lang w:val="cs-CZ"/>
        </w:rPr>
      </w:pPr>
      <w:bookmarkStart w:id="0" w:name="_GoBack"/>
      <w:r w:rsidRPr="000B53CD">
        <w:rPr>
          <w:rFonts w:cs="Times New Roman"/>
          <w:b/>
          <w:szCs w:val="24"/>
          <w:lang w:val="cs-CZ"/>
        </w:rPr>
        <w:t xml:space="preserve">Znečištění zemědělské půdy fosforem z organického hnojení </w:t>
      </w:r>
    </w:p>
    <w:bookmarkEnd w:id="0"/>
    <w:p w:rsidR="007F0A9E" w:rsidRPr="000B53CD" w:rsidRDefault="007F0A9E" w:rsidP="007F0A9E">
      <w:pPr>
        <w:spacing w:after="120" w:line="264" w:lineRule="auto"/>
        <w:rPr>
          <w:rFonts w:cs="Times New Roman"/>
          <w:b/>
          <w:szCs w:val="24"/>
        </w:rPr>
      </w:pPr>
      <w:r w:rsidRPr="000B53CD">
        <w:rPr>
          <w:rFonts w:cs="Times New Roman"/>
          <w:b/>
          <w:szCs w:val="24"/>
        </w:rPr>
        <w:t>Contaminación por fósforo procedente de la fertilización orgánica de suelos agrícolas</w:t>
      </w:r>
    </w:p>
    <w:p w:rsidR="007F0A9E" w:rsidRPr="000B53CD" w:rsidRDefault="007F0A9E" w:rsidP="007F0A9E">
      <w:pPr>
        <w:spacing w:after="120" w:line="264" w:lineRule="auto"/>
        <w:rPr>
          <w:rFonts w:cs="Times New Roman"/>
          <w:szCs w:val="24"/>
        </w:rPr>
      </w:pPr>
      <w:r w:rsidRPr="000B53CD">
        <w:rPr>
          <w:rFonts w:cs="Times New Roman"/>
          <w:szCs w:val="24"/>
        </w:rPr>
        <w:t xml:space="preserve">M.L. Fernández – Marcos. 2011. Contaminación por fósforo procedente de la fertilización orgánica de suelos agrícolas. </w:t>
      </w:r>
      <w:r w:rsidRPr="000B53CD">
        <w:rPr>
          <w:rFonts w:cs="Times New Roman"/>
          <w:i/>
          <w:szCs w:val="24"/>
        </w:rPr>
        <w:t>In: Gestión de residuos orgánicos de uso agrícola / Mª Elvira López Mosquera, Mª Jesús Sainz Osés (coordinadoras). - Santiago de Compostela : Servizo de Publicacións e Intercambio Científico, Universidade de Santiago de Compostela,</w:t>
      </w:r>
      <w:r w:rsidRPr="000B53CD">
        <w:rPr>
          <w:rFonts w:cs="Times New Roman"/>
          <w:szCs w:val="24"/>
        </w:rPr>
        <w:t xml:space="preserve">  pp.25-33. ISBN: 978-84-9887-822-6</w:t>
      </w:r>
    </w:p>
    <w:p w:rsidR="007F0A9E" w:rsidRPr="000B53CD" w:rsidRDefault="007F0A9E" w:rsidP="007F0A9E">
      <w:pPr>
        <w:spacing w:after="120" w:line="264" w:lineRule="auto"/>
        <w:rPr>
          <w:rFonts w:cs="Times New Roman"/>
          <w:szCs w:val="24"/>
        </w:rPr>
      </w:pPr>
      <w:r w:rsidRPr="000B53CD">
        <w:rPr>
          <w:rFonts w:cs="Times New Roman"/>
          <w:b/>
          <w:szCs w:val="24"/>
        </w:rPr>
        <w:t>Klíčová slova:</w:t>
      </w:r>
      <w:r w:rsidRPr="000B53CD">
        <w:rPr>
          <w:rFonts w:cs="Times New Roman"/>
          <w:szCs w:val="24"/>
        </w:rPr>
        <w:t xml:space="preserve"> fosfor, dusík, kejda, hnůj, eutrofizace</w:t>
      </w:r>
    </w:p>
    <w:p w:rsidR="007F0A9E" w:rsidRPr="000B53CD" w:rsidRDefault="007F0A9E" w:rsidP="007F0A9E">
      <w:pPr>
        <w:spacing w:after="120" w:line="264" w:lineRule="auto"/>
        <w:rPr>
          <w:rFonts w:cs="Times New Roman"/>
          <w:b/>
          <w:szCs w:val="24"/>
        </w:rPr>
      </w:pPr>
      <w:r w:rsidRPr="000B53CD">
        <w:rPr>
          <w:rFonts w:cs="Times New Roman"/>
          <w:b/>
          <w:szCs w:val="24"/>
        </w:rPr>
        <w:t xml:space="preserve">Dostupný z: </w:t>
      </w:r>
    </w:p>
    <w:p w:rsidR="007F0A9E" w:rsidRPr="000B53CD" w:rsidRDefault="007F0A9E" w:rsidP="007F0A9E">
      <w:pPr>
        <w:spacing w:after="120" w:line="264" w:lineRule="auto"/>
        <w:rPr>
          <w:rFonts w:cs="Times New Roman"/>
          <w:szCs w:val="24"/>
        </w:rPr>
      </w:pPr>
      <w:hyperlink r:id="rId5" w:anchor="page=27" w:history="1">
        <w:r w:rsidRPr="000B53CD">
          <w:rPr>
            <w:rStyle w:val="Hypertextovodkaz"/>
            <w:rFonts w:cs="Times New Roman"/>
            <w:szCs w:val="24"/>
          </w:rPr>
          <w:t>https://www.researchgate.net/profile/Lugo-Ibader/publication/338544738_Lopez_Mosquera_ME_Sainz_Oses_MJ_Coords_2011_Guia_de_residuos_organicos_de_uso_agricola_Santiago_de_Compostela_Servizo_de_Publicacions_Universidade_de_Santiago_de_Compostela/links/5e1b81ae4585159aa4cb51ec/Lopez-Mosquera-ME-Sainz-Oses-MJ-Coords-2011-Guia-de-residuos-organicos-de-uso-agricola-Santiago-de-Compostela-Servizo-de-Publicacions-Universidade-de-Santiago-de-Compostela.pdf#page=27</w:t>
        </w:r>
      </w:hyperlink>
    </w:p>
    <w:p w:rsidR="007F0A9E" w:rsidRPr="000B53CD" w:rsidRDefault="007F0A9E" w:rsidP="007F0A9E">
      <w:pPr>
        <w:spacing w:after="120" w:line="264" w:lineRule="auto"/>
        <w:rPr>
          <w:rFonts w:cs="Times New Roman"/>
          <w:szCs w:val="24"/>
        </w:rPr>
      </w:pPr>
    </w:p>
    <w:p w:rsidR="007F0A9E" w:rsidRPr="000B53CD" w:rsidRDefault="007F0A9E" w:rsidP="007F0A9E">
      <w:pPr>
        <w:spacing w:after="120" w:line="264" w:lineRule="auto"/>
        <w:rPr>
          <w:rFonts w:cs="Times New Roman"/>
          <w:szCs w:val="24"/>
          <w:lang w:val="cs-CZ"/>
        </w:rPr>
      </w:pPr>
      <w:r w:rsidRPr="000B53CD">
        <w:rPr>
          <w:rFonts w:cs="Times New Roman"/>
          <w:szCs w:val="24"/>
          <w:lang w:val="cs-CZ"/>
        </w:rPr>
        <w:t xml:space="preserve">Většina evropských států se potýká s problémem vysokých koncentrací dusíku a fosforu v půdě, což vede k jejich vyplavování do podzemních a povrchových vod. V lokalitách s intenzivním zemědělstvím a chovem dobytka není možné hospodařit tak, aby k žádnému znečištění nedocházelo, cílem předkládaného článku je nastínit možnosti jak difúzní znečištění snížit. </w:t>
      </w:r>
    </w:p>
    <w:p w:rsidR="007F0A9E" w:rsidRPr="000B53CD" w:rsidRDefault="007F0A9E" w:rsidP="007F0A9E">
      <w:pPr>
        <w:spacing w:after="120" w:line="264" w:lineRule="auto"/>
        <w:rPr>
          <w:rFonts w:cs="Times New Roman"/>
          <w:szCs w:val="24"/>
          <w:lang w:val="cs-CZ"/>
        </w:rPr>
      </w:pPr>
      <w:r w:rsidRPr="000B53CD">
        <w:rPr>
          <w:rFonts w:cs="Times New Roman"/>
          <w:szCs w:val="24"/>
          <w:lang w:val="cs-CZ"/>
        </w:rPr>
        <w:t xml:space="preserve">Dlouho dobu se řešil pouze dusík, který se vyplavuje ze statkových hnojiv aplikovaných na zemědělské pozemky. Statková hnojiva jsou rovněž zdrojem fosforu, který se může do vod dostávat buď povrchovým odtokem, nebo podpovrchovým (drenáží) a také vyluhováním. </w:t>
      </w:r>
    </w:p>
    <w:p w:rsidR="007F0A9E" w:rsidRPr="000B53CD" w:rsidRDefault="007F0A9E" w:rsidP="007F0A9E">
      <w:pPr>
        <w:spacing w:after="120" w:line="264" w:lineRule="auto"/>
        <w:rPr>
          <w:rFonts w:cs="Times New Roman"/>
          <w:szCs w:val="24"/>
          <w:lang w:val="cs-CZ"/>
        </w:rPr>
      </w:pPr>
      <w:r w:rsidRPr="000B53CD">
        <w:rPr>
          <w:rFonts w:cs="Times New Roman"/>
          <w:szCs w:val="24"/>
          <w:lang w:val="cs-CZ"/>
        </w:rPr>
        <w:t>Pro kvantifikaci možných zdrojů fosforu je možné využít následující parametry:</w:t>
      </w:r>
    </w:p>
    <w:p w:rsidR="007F0A9E" w:rsidRPr="000B53CD" w:rsidRDefault="007F0A9E" w:rsidP="007F0A9E">
      <w:pPr>
        <w:pStyle w:val="Odstavecseseznamem"/>
        <w:numPr>
          <w:ilvl w:val="0"/>
          <w:numId w:val="3"/>
        </w:numPr>
        <w:spacing w:after="120" w:line="264" w:lineRule="auto"/>
        <w:rPr>
          <w:rFonts w:cs="Times New Roman"/>
          <w:szCs w:val="24"/>
          <w:lang w:val="cs-CZ"/>
        </w:rPr>
      </w:pPr>
      <w:r w:rsidRPr="000B53CD">
        <w:rPr>
          <w:rFonts w:cs="Times New Roman"/>
          <w:szCs w:val="24"/>
          <w:lang w:val="cs-CZ"/>
        </w:rPr>
        <w:t>Využitelný půdní fosfor (např. dle Mehlicha3)</w:t>
      </w:r>
    </w:p>
    <w:p w:rsidR="007F0A9E" w:rsidRPr="000B53CD" w:rsidRDefault="007F0A9E" w:rsidP="007F0A9E">
      <w:pPr>
        <w:pStyle w:val="Odstavecseseznamem"/>
        <w:numPr>
          <w:ilvl w:val="0"/>
          <w:numId w:val="3"/>
        </w:numPr>
        <w:spacing w:after="120" w:line="264" w:lineRule="auto"/>
        <w:rPr>
          <w:rFonts w:cs="Times New Roman"/>
          <w:szCs w:val="24"/>
          <w:lang w:val="cs-CZ"/>
        </w:rPr>
      </w:pPr>
      <w:r w:rsidRPr="000B53CD">
        <w:rPr>
          <w:rFonts w:cs="Times New Roman"/>
          <w:szCs w:val="24"/>
          <w:lang w:val="cs-CZ"/>
        </w:rPr>
        <w:t>Dávka aplikovaných průmyslových hnojiv</w:t>
      </w:r>
    </w:p>
    <w:p w:rsidR="007F0A9E" w:rsidRPr="000B53CD" w:rsidRDefault="007F0A9E" w:rsidP="007F0A9E">
      <w:pPr>
        <w:pStyle w:val="Odstavecseseznamem"/>
        <w:numPr>
          <w:ilvl w:val="0"/>
          <w:numId w:val="3"/>
        </w:numPr>
        <w:spacing w:after="120" w:line="264" w:lineRule="auto"/>
        <w:rPr>
          <w:rFonts w:cs="Times New Roman"/>
          <w:szCs w:val="24"/>
          <w:lang w:val="cs-CZ"/>
        </w:rPr>
      </w:pPr>
      <w:r w:rsidRPr="000B53CD">
        <w:rPr>
          <w:rFonts w:cs="Times New Roman"/>
          <w:szCs w:val="24"/>
          <w:lang w:val="cs-CZ"/>
        </w:rPr>
        <w:t>Způsob aplikace a časové rozložení aplikace minerálních a statkových hnojiv</w:t>
      </w:r>
    </w:p>
    <w:p w:rsidR="007F0A9E" w:rsidRPr="000B53CD" w:rsidRDefault="007F0A9E" w:rsidP="007F0A9E">
      <w:pPr>
        <w:pStyle w:val="Odstavecseseznamem"/>
        <w:numPr>
          <w:ilvl w:val="0"/>
          <w:numId w:val="3"/>
        </w:numPr>
        <w:spacing w:after="120" w:line="264" w:lineRule="auto"/>
        <w:rPr>
          <w:rFonts w:cs="Times New Roman"/>
          <w:szCs w:val="24"/>
          <w:lang w:val="cs-CZ"/>
        </w:rPr>
      </w:pPr>
      <w:r w:rsidRPr="000B53CD">
        <w:rPr>
          <w:rFonts w:cs="Times New Roman"/>
          <w:szCs w:val="24"/>
          <w:lang w:val="cs-CZ"/>
        </w:rPr>
        <w:t>Dávka aplikovaných statkových hnojiv a obsah fosforu v nich</w:t>
      </w:r>
    </w:p>
    <w:p w:rsidR="007F0A9E" w:rsidRPr="000B53CD" w:rsidRDefault="007F0A9E" w:rsidP="007F0A9E">
      <w:pPr>
        <w:spacing w:after="120" w:line="264" w:lineRule="auto"/>
        <w:rPr>
          <w:rFonts w:cs="Times New Roman"/>
          <w:szCs w:val="24"/>
          <w:lang w:val="cs-CZ"/>
        </w:rPr>
      </w:pPr>
      <w:r w:rsidRPr="000B53CD">
        <w:rPr>
          <w:rFonts w:cs="Times New Roman"/>
          <w:szCs w:val="24"/>
          <w:lang w:val="cs-CZ"/>
        </w:rPr>
        <w:t>K základním strategiím jak snížit difúzní znečištění vod fosforem ze zemědělských zdrojů patří:</w:t>
      </w:r>
    </w:p>
    <w:p w:rsidR="007F0A9E" w:rsidRPr="000B53CD" w:rsidRDefault="007F0A9E" w:rsidP="007F0A9E">
      <w:pPr>
        <w:pStyle w:val="Odstavecseseznamem"/>
        <w:numPr>
          <w:ilvl w:val="0"/>
          <w:numId w:val="4"/>
        </w:numPr>
        <w:spacing w:after="120" w:line="264" w:lineRule="auto"/>
        <w:rPr>
          <w:rFonts w:cs="Times New Roman"/>
          <w:szCs w:val="24"/>
          <w:lang w:val="cs-CZ"/>
        </w:rPr>
      </w:pPr>
      <w:r w:rsidRPr="000B53CD">
        <w:rPr>
          <w:rFonts w:cs="Times New Roman"/>
          <w:szCs w:val="24"/>
          <w:lang w:val="cs-CZ"/>
        </w:rPr>
        <w:t>Dávku organického hnojení vypočítat dle fosforu a ne dle dusíku</w:t>
      </w:r>
    </w:p>
    <w:p w:rsidR="007F0A9E" w:rsidRPr="000B53CD" w:rsidRDefault="007F0A9E" w:rsidP="007F0A9E">
      <w:pPr>
        <w:pStyle w:val="Odstavecseseznamem"/>
        <w:numPr>
          <w:ilvl w:val="0"/>
          <w:numId w:val="4"/>
        </w:numPr>
        <w:spacing w:after="120" w:line="264" w:lineRule="auto"/>
        <w:rPr>
          <w:rFonts w:cs="Times New Roman"/>
          <w:szCs w:val="24"/>
          <w:lang w:val="cs-CZ"/>
        </w:rPr>
      </w:pPr>
      <w:r w:rsidRPr="000B53CD">
        <w:rPr>
          <w:rFonts w:cs="Times New Roman"/>
          <w:szCs w:val="24"/>
          <w:lang w:val="cs-CZ"/>
        </w:rPr>
        <w:t>Zapracovat hnojivo pod povrch, nenechávat ho ležet na povrchu půdy</w:t>
      </w:r>
    </w:p>
    <w:p w:rsidR="007F0A9E" w:rsidRPr="000B53CD" w:rsidRDefault="007F0A9E" w:rsidP="007F0A9E">
      <w:pPr>
        <w:pStyle w:val="Odstavecseseznamem"/>
        <w:numPr>
          <w:ilvl w:val="0"/>
          <w:numId w:val="4"/>
        </w:numPr>
        <w:spacing w:after="120" w:line="264" w:lineRule="auto"/>
        <w:rPr>
          <w:rFonts w:cs="Times New Roman"/>
          <w:szCs w:val="24"/>
          <w:lang w:val="cs-CZ"/>
        </w:rPr>
      </w:pPr>
      <w:r w:rsidRPr="000B53CD">
        <w:rPr>
          <w:rFonts w:cs="Times New Roman"/>
          <w:szCs w:val="24"/>
          <w:lang w:val="cs-CZ"/>
        </w:rPr>
        <w:t>Přidáním solí železa, hliníku nebo vápníku do hnoje nebo močůvky se sníží rozpustnost fosforu</w:t>
      </w:r>
    </w:p>
    <w:p w:rsidR="007F0A9E" w:rsidRPr="000B53CD" w:rsidRDefault="007F0A9E" w:rsidP="007F0A9E">
      <w:pPr>
        <w:pStyle w:val="Odstavecseseznamem"/>
        <w:numPr>
          <w:ilvl w:val="0"/>
          <w:numId w:val="4"/>
        </w:numPr>
        <w:spacing w:after="120" w:line="264" w:lineRule="auto"/>
        <w:rPr>
          <w:rFonts w:cs="Times New Roman"/>
          <w:szCs w:val="24"/>
          <w:lang w:val="cs-CZ"/>
        </w:rPr>
      </w:pPr>
      <w:r w:rsidRPr="000B53CD">
        <w:rPr>
          <w:rFonts w:cs="Times New Roman"/>
          <w:szCs w:val="24"/>
          <w:lang w:val="cs-CZ"/>
        </w:rPr>
        <w:lastRenderedPageBreak/>
        <w:t>Upravit krmnou dávku hospodářských zvířat tak, aby se snížilo množství P ve fekáliích</w:t>
      </w:r>
    </w:p>
    <w:p w:rsidR="007F0A9E" w:rsidRPr="000B53CD" w:rsidRDefault="007F0A9E" w:rsidP="007F0A9E">
      <w:pPr>
        <w:pStyle w:val="Odstavecseseznamem"/>
        <w:numPr>
          <w:ilvl w:val="0"/>
          <w:numId w:val="4"/>
        </w:numPr>
        <w:spacing w:after="120" w:line="264" w:lineRule="auto"/>
        <w:rPr>
          <w:rFonts w:cs="Times New Roman"/>
          <w:szCs w:val="24"/>
          <w:lang w:val="cs-CZ"/>
        </w:rPr>
      </w:pPr>
      <w:r w:rsidRPr="000B53CD">
        <w:rPr>
          <w:rFonts w:cs="Times New Roman"/>
          <w:szCs w:val="24"/>
          <w:lang w:val="cs-CZ"/>
        </w:rPr>
        <w:t>Především na jílovitých půdách aplikovat opatření na zlepšení struktury půdy</w:t>
      </w:r>
    </w:p>
    <w:p w:rsidR="007F0A9E" w:rsidRPr="000B53CD" w:rsidRDefault="007F0A9E" w:rsidP="007F0A9E">
      <w:pPr>
        <w:pStyle w:val="Odstavecseseznamem"/>
        <w:numPr>
          <w:ilvl w:val="0"/>
          <w:numId w:val="4"/>
        </w:numPr>
        <w:spacing w:after="120" w:line="264" w:lineRule="auto"/>
        <w:rPr>
          <w:rFonts w:cs="Times New Roman"/>
          <w:szCs w:val="24"/>
          <w:lang w:val="cs-CZ"/>
        </w:rPr>
      </w:pPr>
      <w:r w:rsidRPr="000B53CD">
        <w:rPr>
          <w:rFonts w:cs="Times New Roman"/>
          <w:szCs w:val="24"/>
          <w:lang w:val="cs-CZ"/>
        </w:rPr>
        <w:t>Nenechávat v zimě půdu bez vegetačního krytu</w:t>
      </w:r>
    </w:p>
    <w:p w:rsidR="007F0A9E" w:rsidRPr="000B53CD" w:rsidRDefault="007F0A9E" w:rsidP="007F0A9E">
      <w:pPr>
        <w:pStyle w:val="Odstavecseseznamem"/>
        <w:numPr>
          <w:ilvl w:val="0"/>
          <w:numId w:val="4"/>
        </w:numPr>
        <w:spacing w:after="120" w:line="264" w:lineRule="auto"/>
        <w:rPr>
          <w:rFonts w:cs="Times New Roman"/>
          <w:szCs w:val="24"/>
          <w:lang w:val="cs-CZ"/>
        </w:rPr>
      </w:pPr>
      <w:r w:rsidRPr="000B53CD">
        <w:rPr>
          <w:rFonts w:cs="Times New Roman"/>
          <w:szCs w:val="24"/>
          <w:lang w:val="cs-CZ"/>
        </w:rPr>
        <w:t>Orat po vrstevnicích</w:t>
      </w:r>
    </w:p>
    <w:p w:rsidR="007F0A9E" w:rsidRPr="000B53CD" w:rsidRDefault="007F0A9E" w:rsidP="007F0A9E">
      <w:pPr>
        <w:pStyle w:val="Odstavecseseznamem"/>
        <w:numPr>
          <w:ilvl w:val="0"/>
          <w:numId w:val="4"/>
        </w:numPr>
        <w:spacing w:after="120" w:line="264" w:lineRule="auto"/>
        <w:rPr>
          <w:rFonts w:cs="Times New Roman"/>
          <w:szCs w:val="24"/>
          <w:lang w:val="cs-CZ"/>
        </w:rPr>
      </w:pPr>
      <w:r w:rsidRPr="000B53CD">
        <w:rPr>
          <w:rFonts w:cs="Times New Roman"/>
          <w:szCs w:val="24"/>
          <w:lang w:val="cs-CZ"/>
        </w:rPr>
        <w:t>Neaplikovat kejdu a močůvku když jsou pravděpodobné srážky</w:t>
      </w:r>
    </w:p>
    <w:p w:rsidR="007F0A9E" w:rsidRPr="000B53CD" w:rsidRDefault="007F0A9E" w:rsidP="007F0A9E">
      <w:pPr>
        <w:pStyle w:val="Odstavecseseznamem"/>
        <w:numPr>
          <w:ilvl w:val="0"/>
          <w:numId w:val="4"/>
        </w:numPr>
        <w:spacing w:after="120" w:line="264" w:lineRule="auto"/>
        <w:rPr>
          <w:rFonts w:cs="Times New Roman"/>
          <w:szCs w:val="24"/>
          <w:lang w:val="cs-CZ"/>
        </w:rPr>
      </w:pPr>
      <w:r w:rsidRPr="000B53CD">
        <w:rPr>
          <w:rFonts w:cs="Times New Roman"/>
          <w:szCs w:val="24"/>
          <w:lang w:val="cs-CZ"/>
        </w:rPr>
        <w:t>Management závlah</w:t>
      </w:r>
    </w:p>
    <w:p w:rsidR="007F0A9E" w:rsidRPr="000B53CD" w:rsidRDefault="007F0A9E" w:rsidP="007F0A9E">
      <w:pPr>
        <w:pStyle w:val="Odstavecseseznamem"/>
        <w:numPr>
          <w:ilvl w:val="0"/>
          <w:numId w:val="4"/>
        </w:numPr>
        <w:spacing w:after="120" w:line="264" w:lineRule="auto"/>
        <w:rPr>
          <w:rFonts w:cs="Times New Roman"/>
          <w:szCs w:val="24"/>
          <w:lang w:val="cs-CZ"/>
        </w:rPr>
      </w:pPr>
      <w:r w:rsidRPr="000B53CD">
        <w:rPr>
          <w:rFonts w:cs="Times New Roman"/>
          <w:szCs w:val="24"/>
          <w:lang w:val="cs-CZ"/>
        </w:rPr>
        <w:t>Průlehy pro zachycení povrchového odtoku</w:t>
      </w:r>
    </w:p>
    <w:p w:rsidR="007F0A9E" w:rsidRPr="000B53CD" w:rsidRDefault="007F0A9E" w:rsidP="007F0A9E">
      <w:pPr>
        <w:pStyle w:val="Odstavecseseznamem"/>
        <w:numPr>
          <w:ilvl w:val="0"/>
          <w:numId w:val="4"/>
        </w:numPr>
        <w:spacing w:after="120" w:line="264" w:lineRule="auto"/>
        <w:rPr>
          <w:rFonts w:cs="Times New Roman"/>
          <w:szCs w:val="24"/>
          <w:lang w:val="cs-CZ"/>
        </w:rPr>
      </w:pPr>
      <w:r w:rsidRPr="000B53CD">
        <w:rPr>
          <w:rFonts w:cs="Times New Roman"/>
          <w:szCs w:val="24"/>
          <w:lang w:val="cs-CZ"/>
        </w:rPr>
        <w:t>Převod orné půdy na louky a pastviny</w:t>
      </w:r>
    </w:p>
    <w:p w:rsidR="007F0A9E" w:rsidRPr="000B53CD" w:rsidRDefault="007F0A9E" w:rsidP="007F0A9E">
      <w:pPr>
        <w:spacing w:after="120" w:line="264" w:lineRule="auto"/>
        <w:rPr>
          <w:rFonts w:cs="Times New Roman"/>
          <w:szCs w:val="24"/>
          <w:lang w:val="cs-CZ"/>
        </w:rPr>
      </w:pPr>
    </w:p>
    <w:p w:rsidR="007F0A9E" w:rsidRPr="000B53CD" w:rsidRDefault="007F0A9E" w:rsidP="007F0A9E">
      <w:pPr>
        <w:spacing w:after="120" w:line="264" w:lineRule="auto"/>
        <w:rPr>
          <w:rFonts w:cs="Times New Roman"/>
          <w:szCs w:val="24"/>
          <w:lang w:val="cs-CZ"/>
        </w:rPr>
      </w:pPr>
    </w:p>
    <w:p w:rsidR="007F0A9E" w:rsidRPr="000B53CD" w:rsidRDefault="007F0A9E" w:rsidP="007F0A9E">
      <w:pPr>
        <w:spacing w:after="120" w:line="264" w:lineRule="auto"/>
        <w:rPr>
          <w:rFonts w:cs="Times New Roman"/>
          <w:szCs w:val="24"/>
          <w:u w:val="single"/>
          <w:lang w:val="cs-CZ"/>
        </w:rPr>
      </w:pPr>
      <w:r w:rsidRPr="007F0A9E">
        <w:rPr>
          <w:rFonts w:cs="Times New Roman"/>
          <w:b/>
          <w:szCs w:val="24"/>
          <w:lang w:val="cs-CZ"/>
        </w:rPr>
        <w:t>Zpracovala</w:t>
      </w:r>
      <w:r w:rsidRPr="000B53CD">
        <w:rPr>
          <w:rFonts w:cs="Times New Roman"/>
          <w:szCs w:val="24"/>
          <w:lang w:val="cs-CZ"/>
        </w:rPr>
        <w:t xml:space="preserve">: Ing. Petra Oppeltová, Ph.D, Mendelova univerzita v Brně, </w:t>
      </w:r>
      <w:hyperlink r:id="rId6" w:history="1">
        <w:r w:rsidRPr="000B53CD">
          <w:rPr>
            <w:rStyle w:val="Hypertextovodkaz"/>
            <w:rFonts w:cs="Times New Roman"/>
            <w:szCs w:val="24"/>
            <w:lang w:val="cs-CZ"/>
          </w:rPr>
          <w:t>oppeltova@mendelu.cz</w:t>
        </w:r>
      </w:hyperlink>
    </w:p>
    <w:p w:rsidR="00CF44FB" w:rsidRPr="00FF097D" w:rsidRDefault="00CF44FB" w:rsidP="00AE5452"/>
    <w:sectPr w:rsidR="00CF44FB" w:rsidRPr="00FF097D" w:rsidSect="00CF44FB">
      <w:footerReference w:type="default" r:id="rId7"/>
      <w:pgSz w:w="12240" w:h="15840" w:code="1"/>
      <w:pgMar w:top="1418" w:right="1418"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29636"/>
      <w:docPartObj>
        <w:docPartGallery w:val="Page Numbers (Bottom of Page)"/>
        <w:docPartUnique/>
      </w:docPartObj>
    </w:sdtPr>
    <w:sdtEndPr/>
    <w:sdtContent>
      <w:p w:rsidR="00CB5DE1" w:rsidRDefault="007F0A9E">
        <w:pPr>
          <w:pStyle w:val="Zpat"/>
          <w:jc w:val="center"/>
        </w:pPr>
        <w:r>
          <w:fldChar w:fldCharType="begin"/>
        </w:r>
        <w:r>
          <w:instrText>PAGE   \* MERGEFORMAT</w:instrText>
        </w:r>
        <w:r>
          <w:fldChar w:fldCharType="separate"/>
        </w:r>
        <w:r w:rsidRPr="007F0A9E">
          <w:rPr>
            <w:noProof/>
            <w:lang w:val="cs-CZ"/>
          </w:rP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5ED9"/>
    <w:multiLevelType w:val="hybridMultilevel"/>
    <w:tmpl w:val="C50AC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DC7B68"/>
    <w:multiLevelType w:val="hybridMultilevel"/>
    <w:tmpl w:val="0D2EE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DE73106"/>
    <w:multiLevelType w:val="hybridMultilevel"/>
    <w:tmpl w:val="F7B0D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7D23C54"/>
    <w:multiLevelType w:val="hybridMultilevel"/>
    <w:tmpl w:val="6108D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C3"/>
    <w:rsid w:val="000A4B37"/>
    <w:rsid w:val="00172ACF"/>
    <w:rsid w:val="00367937"/>
    <w:rsid w:val="003A7060"/>
    <w:rsid w:val="00593EC3"/>
    <w:rsid w:val="006603DE"/>
    <w:rsid w:val="007F0A9E"/>
    <w:rsid w:val="00957473"/>
    <w:rsid w:val="00A061EF"/>
    <w:rsid w:val="00A71BDA"/>
    <w:rsid w:val="00AE5452"/>
    <w:rsid w:val="00CD2178"/>
    <w:rsid w:val="00CF44FB"/>
    <w:rsid w:val="00FF09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90FFA-0DF4-4ADE-8B10-556F1A46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DP_normální"/>
    <w:qFormat/>
    <w:rsid w:val="00593EC3"/>
    <w:pPr>
      <w:tabs>
        <w:tab w:val="left" w:pos="340"/>
      </w:tabs>
      <w:spacing w:after="0" w:line="360" w:lineRule="auto"/>
      <w:jc w:val="both"/>
    </w:pPr>
    <w:rPr>
      <w:rFonts w:ascii="Times New Roman" w:hAnsi="Times New Roman"/>
      <w:sz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593EC3"/>
    <w:pPr>
      <w:tabs>
        <w:tab w:val="center" w:pos="4680"/>
        <w:tab w:val="right" w:pos="9360"/>
      </w:tabs>
      <w:spacing w:line="240" w:lineRule="auto"/>
    </w:pPr>
  </w:style>
  <w:style w:type="character" w:customStyle="1" w:styleId="ZpatChar">
    <w:name w:val="Zápatí Char"/>
    <w:basedOn w:val="Standardnpsmoodstavce"/>
    <w:link w:val="Zpat"/>
    <w:uiPriority w:val="99"/>
    <w:rsid w:val="00593EC3"/>
    <w:rPr>
      <w:rFonts w:ascii="Times New Roman" w:hAnsi="Times New Roman"/>
      <w:sz w:val="24"/>
      <w:lang w:val="en-US"/>
    </w:rPr>
  </w:style>
  <w:style w:type="character" w:styleId="Hypertextovodkaz">
    <w:name w:val="Hyperlink"/>
    <w:basedOn w:val="Standardnpsmoodstavce"/>
    <w:uiPriority w:val="99"/>
    <w:unhideWhenUsed/>
    <w:rsid w:val="00593EC3"/>
    <w:rPr>
      <w:color w:val="0563C1" w:themeColor="hyperlink"/>
      <w:u w:val="single"/>
    </w:rPr>
  </w:style>
  <w:style w:type="paragraph" w:styleId="Odstavecseseznamem">
    <w:name w:val="List Paragraph"/>
    <w:basedOn w:val="Normln"/>
    <w:uiPriority w:val="34"/>
    <w:qFormat/>
    <w:rsid w:val="00957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peltova@mendelu.cz" TargetMode="External"/><Relationship Id="rId5" Type="http://schemas.openxmlformats.org/officeDocument/2006/relationships/hyperlink" Target="https://www.researchgate.net/profile/Lugo-Ibader/publication/338544738_Lopez_Mosquera_ME_Sainz_Oses_MJ_Coords_2011_Guia_de_residuos_organicos_de_uso_agricola_Santiago_de_Compostela_Servizo_de_Publicacions_Universidade_de_Santiago_de_Compostela/links/5e1b81ae4585159aa4cb51ec/Lopez-Mosquera-ME-Sainz-Oses-MJ-Coords-2011-Guia-de-residuos-organicos-de-uso-agricola-Santiago-de-Compostela-Servizo-de-Publicacions-Universidade-de-Santiago-de-Compostela.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2822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2</cp:revision>
  <dcterms:created xsi:type="dcterms:W3CDTF">2020-12-07T00:13:00Z</dcterms:created>
  <dcterms:modified xsi:type="dcterms:W3CDTF">2020-12-07T00:13:00Z</dcterms:modified>
</cp:coreProperties>
</file>