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Default="00FA0BF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Hydrodynamické charakteristiky umělých mokřadů a odbourávání pesticidů a jejich metabolitů </w:t>
      </w:r>
      <w:r w:rsidR="00046C52">
        <w:rPr>
          <w:rFonts w:ascii="Times New Roman" w:hAnsi="Times New Roman" w:cs="Times New Roman"/>
          <w:b/>
          <w:sz w:val="24"/>
          <w:szCs w:val="24"/>
        </w:rPr>
        <w:t>v měřítku jednoho experimentu</w:t>
      </w:r>
    </w:p>
    <w:p w:rsidR="003B6FC4" w:rsidRPr="007460DA" w:rsidRDefault="003B6FC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0F56" w:rsidRPr="00D70F56" w:rsidRDefault="00D70F56" w:rsidP="00D70F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Wetland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hydrodynamics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mitigation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pesticides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metabolites</w:t>
      </w:r>
      <w:proofErr w:type="spellEnd"/>
    </w:p>
    <w:p w:rsidR="00817475" w:rsidRDefault="00D70F56" w:rsidP="00D70F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D70F56">
        <w:rPr>
          <w:rFonts w:ascii="Times New Roman" w:hAnsi="Times New Roman" w:cs="Times New Roman"/>
          <w:b/>
          <w:sz w:val="24"/>
          <w:szCs w:val="24"/>
        </w:rPr>
        <w:t xml:space="preserve"> pilot-</w:t>
      </w:r>
      <w:proofErr w:type="spellStart"/>
      <w:r w:rsidRPr="00D70F56">
        <w:rPr>
          <w:rFonts w:ascii="Times New Roman" w:hAnsi="Times New Roman" w:cs="Times New Roman"/>
          <w:b/>
          <w:sz w:val="24"/>
          <w:szCs w:val="24"/>
        </w:rPr>
        <w:t>scale</w:t>
      </w:r>
      <w:proofErr w:type="spellEnd"/>
    </w:p>
    <w:p w:rsidR="00D70F56" w:rsidRDefault="00D70F56" w:rsidP="00D70F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4E220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E2205">
        <w:rPr>
          <w:rFonts w:ascii="Times New Roman" w:hAnsi="Times New Roman" w:cs="Times New Roman"/>
          <w:sz w:val="24"/>
          <w:szCs w:val="24"/>
        </w:rPr>
        <w:t>Gaullier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, C., Baran, N.,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Dousset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Devau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Billet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Kitzinger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proofErr w:type="gramStart"/>
      <w:r w:rsidRPr="004E2205">
        <w:rPr>
          <w:rFonts w:ascii="Times New Roman" w:hAnsi="Times New Roman" w:cs="Times New Roman"/>
          <w:sz w:val="24"/>
          <w:szCs w:val="24"/>
        </w:rPr>
        <w:t>Coisy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>, E.</w:t>
      </w:r>
      <w:r w:rsidR="004B3996" w:rsidRPr="004B39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399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Wetland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hydrodynamics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esticides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pilot-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4B39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4E2205">
        <w:rPr>
          <w:rFonts w:ascii="Times New Roman" w:hAnsi="Times New Roman" w:cs="Times New Roman"/>
          <w:sz w:val="24"/>
          <w:szCs w:val="24"/>
        </w:rPr>
        <w:t>, 136, pp. 185-192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205">
        <w:rPr>
          <w:rFonts w:ascii="Times New Roman" w:hAnsi="Times New Roman" w:cs="Times New Roman"/>
          <w:sz w:val="24"/>
          <w:szCs w:val="24"/>
        </w:rPr>
        <w:t>DOI: 10.1016/j.ecoleng.2019.06.019</w:t>
      </w:r>
    </w:p>
    <w:p w:rsidR="004E2205" w:rsidRDefault="004E220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6C52">
        <w:rPr>
          <w:rFonts w:ascii="Times New Roman" w:hAnsi="Times New Roman" w:cs="Times New Roman"/>
          <w:sz w:val="24"/>
          <w:szCs w:val="24"/>
        </w:rPr>
        <w:t xml:space="preserve"> umělý mokřad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C52">
        <w:rPr>
          <w:rFonts w:ascii="Times New Roman" w:hAnsi="Times New Roman" w:cs="Times New Roman"/>
          <w:sz w:val="24"/>
          <w:szCs w:val="24"/>
        </w:rPr>
        <w:t>velikost průtoku, hydraulické charakteristiky, pesticidy snížení znečištění</w:t>
      </w:r>
      <w:r w:rsidR="00CE793F">
        <w:rPr>
          <w:rFonts w:ascii="Times New Roman" w:hAnsi="Times New Roman" w:cs="Times New Roman"/>
          <w:sz w:val="24"/>
          <w:szCs w:val="24"/>
        </w:rPr>
        <w:t xml:space="preserve"> odtok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C52">
        <w:rPr>
          <w:rFonts w:ascii="Times New Roman" w:hAnsi="Times New Roman" w:cs="Times New Roman"/>
          <w:sz w:val="24"/>
          <w:szCs w:val="24"/>
        </w:rPr>
        <w:t xml:space="preserve">stopovač 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037" w:rsidRDefault="00817475" w:rsidP="004B39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037" w:rsidRDefault="002D09C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E2205" w:rsidRPr="00C703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https://www-sciencedirect-com.ezproxy.techlib.cz/science/article/pii/S0925857419302162</w:t>
        </w:r>
      </w:hyperlink>
    </w:p>
    <w:p w:rsidR="004E2205" w:rsidRDefault="004E220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FC4" w:rsidRPr="00313741" w:rsidRDefault="00DF6B01" w:rsidP="00AA1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Umělé mokřady s volnou hladinou jsou považovány za relativně účinné, nákladově efektivní opatření ke snížení zátěže vod pesticidy a jejich metabolity. </w:t>
      </w:r>
      <w:r w:rsidR="00F73524">
        <w:rPr>
          <w:rFonts w:ascii="Times New Roman" w:hAnsi="Times New Roman" w:cs="Times New Roman"/>
          <w:sz w:val="24"/>
          <w:szCs w:val="24"/>
        </w:rPr>
        <w:t>Přes množství zejména laboratorních studií, jsou uváděné účinnosti značně odlišné (24 – 97 %). Obecně je účinnost umělých mokřadů ovlivněna velkým množstvím parametrů. Daná studie měla za cíl některé tyto parametry specifikovat. Experiment probíhal laboratorně na zmenšených modelech dvou skutečných mokřadů. První z nich byl tvaru jednoduchého kanálu (ditch), druhý měl podobu dvou spojených tůní (</w:t>
      </w:r>
      <w:proofErr w:type="spellStart"/>
      <w:r w:rsidR="00F73524">
        <w:rPr>
          <w:rFonts w:ascii="Times New Roman" w:hAnsi="Times New Roman" w:cs="Times New Roman"/>
          <w:sz w:val="24"/>
          <w:szCs w:val="24"/>
        </w:rPr>
        <w:t>ponds</w:t>
      </w:r>
      <w:proofErr w:type="spellEnd"/>
      <w:r w:rsidR="00F73524">
        <w:rPr>
          <w:rFonts w:ascii="Times New Roman" w:hAnsi="Times New Roman" w:cs="Times New Roman"/>
          <w:sz w:val="24"/>
          <w:szCs w:val="24"/>
        </w:rPr>
        <w:t>). Použitý substrát byl odebrán v lokalitách skutečných mokřadů a jako vegetace byly využity sítina rozkladitá a sítina žabí.</w:t>
      </w:r>
    </w:p>
    <w:p w:rsidR="00FA0BF3" w:rsidRDefault="00FA0BF3" w:rsidP="00FA0B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 prokázal, že účinnost umělých mokřadů závisí </w:t>
      </w:r>
      <w:r w:rsidR="00F73524">
        <w:rPr>
          <w:rFonts w:ascii="Times New Roman" w:hAnsi="Times New Roman" w:cs="Times New Roman"/>
          <w:sz w:val="24"/>
          <w:szCs w:val="24"/>
        </w:rPr>
        <w:t>v první řadě</w:t>
      </w:r>
      <w:r>
        <w:rPr>
          <w:rFonts w:ascii="Times New Roman" w:hAnsi="Times New Roman" w:cs="Times New Roman"/>
          <w:sz w:val="24"/>
          <w:szCs w:val="24"/>
        </w:rPr>
        <w:t xml:space="preserve"> na hydrodynamických charakteristikách proudění a velikosti průtoku, dále na uspořádání daného mokřadu a nakonec na fyzikálně chemických vlastnostech konkrétního pesticidu.</w:t>
      </w:r>
    </w:p>
    <w:p w:rsidR="00FA0BF3" w:rsidRDefault="00FA0BF3" w:rsidP="00FA0B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 obou typů mokřadů je nejvyšší při malých průtocích a s</w:t>
      </w:r>
      <w:r w:rsidR="00F73524">
        <w:rPr>
          <w:rFonts w:ascii="Times New Roman" w:hAnsi="Times New Roman" w:cs="Times New Roman"/>
          <w:sz w:val="24"/>
          <w:szCs w:val="24"/>
        </w:rPr>
        <w:t> jejich růstem</w:t>
      </w:r>
      <w:r>
        <w:rPr>
          <w:rFonts w:ascii="Times New Roman" w:hAnsi="Times New Roman" w:cs="Times New Roman"/>
          <w:sz w:val="24"/>
          <w:szCs w:val="24"/>
        </w:rPr>
        <w:t xml:space="preserve"> klesá.</w:t>
      </w:r>
      <w:r w:rsidRPr="008C4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souvisí jednak s klesající dobou zdržení při rostoucím průtoku a také se  změnou hydraulických parametrů.</w:t>
      </w:r>
      <w:r w:rsidRPr="008C4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 doba zdržení se zdá být hlavním faktorem pro účinnost mokřadu. V případě nízkých průtoků probíhá kromě konvektivního proudění také hydrodynamická disperse</w:t>
      </w:r>
      <w:r w:rsidR="00F73524">
        <w:rPr>
          <w:rFonts w:ascii="Times New Roman" w:hAnsi="Times New Roman" w:cs="Times New Roman"/>
          <w:sz w:val="24"/>
          <w:szCs w:val="24"/>
        </w:rPr>
        <w:t>, která zvyšuje možnost a dobu kontaktu pesticidu se substrátem.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524">
        <w:rPr>
          <w:rFonts w:ascii="Times New Roman" w:hAnsi="Times New Roman" w:cs="Times New Roman"/>
          <w:sz w:val="24"/>
          <w:szCs w:val="24"/>
        </w:rPr>
        <w:t>Naopak</w:t>
      </w:r>
      <w:r>
        <w:rPr>
          <w:rFonts w:ascii="Times New Roman" w:hAnsi="Times New Roman" w:cs="Times New Roman"/>
          <w:sz w:val="24"/>
          <w:szCs w:val="24"/>
        </w:rPr>
        <w:t xml:space="preserve"> v případě vyšších průtoků probíhá pouze konvekce. Vyšší míru odbourávání pesticidů během období nízkých průtoků dokazuje také vysoká produkce metabolitů</w:t>
      </w:r>
      <w:r w:rsidR="00F73524">
        <w:rPr>
          <w:rFonts w:ascii="Times New Roman" w:hAnsi="Times New Roman" w:cs="Times New Roman"/>
          <w:sz w:val="24"/>
          <w:szCs w:val="24"/>
        </w:rPr>
        <w:t xml:space="preserve"> v tomto období</w:t>
      </w:r>
      <w:r>
        <w:rPr>
          <w:rFonts w:ascii="Times New Roman" w:hAnsi="Times New Roman" w:cs="Times New Roman"/>
          <w:sz w:val="24"/>
          <w:szCs w:val="24"/>
        </w:rPr>
        <w:t xml:space="preserve">. V případě, že po období s přítokem nastane období bez přítoku, dojde k téměř úplnému odbourání všech pesticidů i jejich metabolitů.  </w:t>
      </w:r>
    </w:p>
    <w:p w:rsidR="00FA0BF3" w:rsidRDefault="004E2205" w:rsidP="004E2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</w:t>
      </w:r>
      <w:r w:rsidR="00FA0BF3">
        <w:rPr>
          <w:rFonts w:ascii="Times New Roman" w:hAnsi="Times New Roman" w:cs="Times New Roman"/>
          <w:sz w:val="24"/>
          <w:szCs w:val="24"/>
        </w:rPr>
        <w:t>mokřadu neměl velký vliv na dobu zdržení, nicméně v mokřadu s kanálem byla mírně vyšší (4,7 – 22 hodin) než v mokřadu s tů</w:t>
      </w:r>
      <w:bookmarkStart w:id="0" w:name="_GoBack"/>
      <w:r w:rsidR="00FA0BF3">
        <w:rPr>
          <w:rFonts w:ascii="Times New Roman" w:hAnsi="Times New Roman" w:cs="Times New Roman"/>
          <w:sz w:val="24"/>
          <w:szCs w:val="24"/>
        </w:rPr>
        <w:t>němi (3,9 – 21 hodin). Účinnost odbourávání pesticidů byla podstatně vyšší v případě mokřadu s kanálem (</w:t>
      </w:r>
      <w:r w:rsidR="00FA0BF3" w:rsidRPr="00FA0BF3">
        <w:rPr>
          <w:rFonts w:ascii="Times New Roman" w:hAnsi="Times New Roman" w:cs="Times New Roman"/>
          <w:sz w:val="24"/>
          <w:szCs w:val="24"/>
        </w:rPr>
        <w:t>35</w:t>
      </w:r>
      <w:r w:rsidR="00FA0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A0BF3">
        <w:rPr>
          <w:rFonts w:ascii="Times New Roman" w:hAnsi="Times New Roman" w:cs="Times New Roman"/>
          <w:sz w:val="24"/>
          <w:szCs w:val="24"/>
        </w:rPr>
        <w:t xml:space="preserve">až </w:t>
      </w:r>
      <w:r w:rsidR="00FA0BF3" w:rsidRPr="00FA0BF3">
        <w:rPr>
          <w:rFonts w:ascii="Times New Roman" w:hAnsi="Times New Roman" w:cs="Times New Roman"/>
          <w:sz w:val="24"/>
          <w:szCs w:val="24"/>
        </w:rPr>
        <w:t>45</w:t>
      </w:r>
      <w:r w:rsidR="00FA0BF3">
        <w:rPr>
          <w:rFonts w:ascii="Times New Roman" w:hAnsi="Times New Roman" w:cs="Times New Roman"/>
          <w:sz w:val="24"/>
          <w:szCs w:val="24"/>
        </w:rPr>
        <w:t>,</w:t>
      </w:r>
      <w:r w:rsidR="00FA0BF3" w:rsidRPr="00FA0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BF3" w:rsidRPr="00FA0BF3">
        <w:rPr>
          <w:rFonts w:ascii="Times New Roman" w:hAnsi="Times New Roman" w:cs="Times New Roman"/>
          <w:sz w:val="24"/>
          <w:szCs w:val="24"/>
        </w:rPr>
        <w:t>%</w:t>
      </w:r>
      <w:r w:rsidR="00FA0BF3">
        <w:rPr>
          <w:rFonts w:ascii="Times New Roman" w:hAnsi="Times New Roman" w:cs="Times New Roman"/>
          <w:sz w:val="24"/>
          <w:szCs w:val="24"/>
        </w:rPr>
        <w:t>) než na mokřadu se tůněmi (</w:t>
      </w:r>
      <w:r w:rsidR="00FA0BF3" w:rsidRPr="00FA0BF3">
        <w:rPr>
          <w:rFonts w:ascii="Times New Roman" w:hAnsi="Times New Roman" w:cs="Times New Roman"/>
          <w:sz w:val="24"/>
          <w:szCs w:val="24"/>
        </w:rPr>
        <w:t>7</w:t>
      </w:r>
      <w:r w:rsidR="00FA0BF3">
        <w:rPr>
          <w:rFonts w:ascii="Times New Roman" w:hAnsi="Times New Roman" w:cs="Times New Roman"/>
          <w:sz w:val="24"/>
          <w:szCs w:val="24"/>
        </w:rPr>
        <w:t>,</w:t>
      </w:r>
      <w:r w:rsidR="00FA0BF3" w:rsidRPr="00FA0BF3">
        <w:rPr>
          <w:rFonts w:ascii="Times New Roman" w:hAnsi="Times New Roman" w:cs="Times New Roman"/>
          <w:sz w:val="24"/>
          <w:szCs w:val="24"/>
        </w:rPr>
        <w:t xml:space="preserve">9 </w:t>
      </w:r>
      <w:r w:rsidR="00FA0BF3">
        <w:rPr>
          <w:rFonts w:ascii="Times New Roman" w:hAnsi="Times New Roman" w:cs="Times New Roman"/>
          <w:sz w:val="24"/>
          <w:szCs w:val="24"/>
        </w:rPr>
        <w:t>až</w:t>
      </w:r>
      <w:r w:rsidR="00FA0BF3" w:rsidRPr="00FA0BF3">
        <w:rPr>
          <w:rFonts w:ascii="Times New Roman" w:hAnsi="Times New Roman" w:cs="Times New Roman"/>
          <w:sz w:val="24"/>
          <w:szCs w:val="24"/>
        </w:rPr>
        <w:t xml:space="preserve"> 14</w:t>
      </w:r>
      <w:r w:rsidR="00FA0BF3">
        <w:rPr>
          <w:rFonts w:ascii="Times New Roman" w:hAnsi="Times New Roman" w:cs="Times New Roman"/>
          <w:sz w:val="24"/>
          <w:szCs w:val="24"/>
        </w:rPr>
        <w:t>,</w:t>
      </w:r>
      <w:r w:rsidR="00FA0BF3" w:rsidRPr="00FA0BF3">
        <w:rPr>
          <w:rFonts w:ascii="Times New Roman" w:hAnsi="Times New Roman" w:cs="Times New Roman"/>
          <w:sz w:val="24"/>
          <w:szCs w:val="24"/>
        </w:rPr>
        <w:t>8</w:t>
      </w:r>
      <w:r w:rsidR="00FA0BF3">
        <w:rPr>
          <w:rFonts w:ascii="Times New Roman" w:hAnsi="Times New Roman" w:cs="Times New Roman"/>
          <w:sz w:val="24"/>
          <w:szCs w:val="24"/>
        </w:rPr>
        <w:t xml:space="preserve"> %).  Rozdíl v účinnosti je přisuzován rozdíln</w:t>
      </w:r>
      <w:r w:rsidR="00E214A0">
        <w:rPr>
          <w:rFonts w:ascii="Times New Roman" w:hAnsi="Times New Roman" w:cs="Times New Roman"/>
          <w:sz w:val="24"/>
          <w:szCs w:val="24"/>
        </w:rPr>
        <w:t>é</w:t>
      </w:r>
      <w:r w:rsidR="00FA0BF3">
        <w:rPr>
          <w:rFonts w:ascii="Times New Roman" w:hAnsi="Times New Roman" w:cs="Times New Roman"/>
          <w:sz w:val="24"/>
          <w:szCs w:val="24"/>
        </w:rPr>
        <w:t xml:space="preserve"> hloub</w:t>
      </w:r>
      <w:r w:rsidR="00E214A0">
        <w:rPr>
          <w:rFonts w:ascii="Times New Roman" w:hAnsi="Times New Roman" w:cs="Times New Roman"/>
          <w:sz w:val="24"/>
          <w:szCs w:val="24"/>
        </w:rPr>
        <w:t>ce</w:t>
      </w:r>
      <w:r w:rsidR="00FA0BF3">
        <w:rPr>
          <w:rFonts w:ascii="Times New Roman" w:hAnsi="Times New Roman" w:cs="Times New Roman"/>
          <w:sz w:val="24"/>
          <w:szCs w:val="24"/>
        </w:rPr>
        <w:t xml:space="preserve"> v obou typech</w:t>
      </w:r>
      <w:r w:rsidR="00E214A0">
        <w:rPr>
          <w:rFonts w:ascii="Times New Roman" w:hAnsi="Times New Roman" w:cs="Times New Roman"/>
          <w:sz w:val="24"/>
          <w:szCs w:val="24"/>
        </w:rPr>
        <w:t xml:space="preserve"> mokřadů</w:t>
      </w:r>
      <w:r w:rsidR="00FA0BF3">
        <w:rPr>
          <w:rFonts w:ascii="Times New Roman" w:hAnsi="Times New Roman" w:cs="Times New Roman"/>
          <w:sz w:val="24"/>
          <w:szCs w:val="24"/>
        </w:rPr>
        <w:t>.   Menší hloubka mokřadu s kanálem zvětšuje aktivní povrch a tím zvyšuje možnost interakce unášených pesticid</w:t>
      </w:r>
      <w:r w:rsidR="00E214A0">
        <w:rPr>
          <w:rFonts w:ascii="Times New Roman" w:hAnsi="Times New Roman" w:cs="Times New Roman"/>
          <w:sz w:val="24"/>
          <w:szCs w:val="24"/>
        </w:rPr>
        <w:t>ů</w:t>
      </w:r>
      <w:r w:rsidR="00FA0BF3">
        <w:rPr>
          <w:rFonts w:ascii="Times New Roman" w:hAnsi="Times New Roman" w:cs="Times New Roman"/>
          <w:sz w:val="24"/>
          <w:szCs w:val="24"/>
        </w:rPr>
        <w:t xml:space="preserve"> se substrátem a </w:t>
      </w:r>
      <w:r>
        <w:rPr>
          <w:rFonts w:ascii="Times New Roman" w:hAnsi="Times New Roman" w:cs="Times New Roman"/>
          <w:sz w:val="24"/>
          <w:szCs w:val="24"/>
        </w:rPr>
        <w:t>zároveň</w:t>
      </w:r>
      <w:r w:rsidR="00FA0BF3">
        <w:rPr>
          <w:rFonts w:ascii="Times New Roman" w:hAnsi="Times New Roman" w:cs="Times New Roman"/>
          <w:sz w:val="24"/>
          <w:szCs w:val="24"/>
        </w:rPr>
        <w:t xml:space="preserve"> možnost jejich adsorpce.  Naopak v hlubším mokřadu typu tůně jsou pesticidní látky volně unášeny vodou s nižší možností interakce se substrátem </w:t>
      </w:r>
      <w:r w:rsidR="00E214A0">
        <w:rPr>
          <w:rFonts w:ascii="Times New Roman" w:hAnsi="Times New Roman" w:cs="Times New Roman"/>
          <w:sz w:val="24"/>
          <w:szCs w:val="24"/>
        </w:rPr>
        <w:t xml:space="preserve">a jejich adsorpce klesá </w:t>
      </w:r>
      <w:r w:rsidR="00FA0BF3">
        <w:rPr>
          <w:rFonts w:ascii="Times New Roman" w:hAnsi="Times New Roman" w:cs="Times New Roman"/>
          <w:sz w:val="24"/>
          <w:szCs w:val="24"/>
        </w:rPr>
        <w:t>s výjimkou látek s nejvyšším adsorpčním koeficientem</w:t>
      </w:r>
      <w:r w:rsidR="00E214A0">
        <w:rPr>
          <w:rFonts w:ascii="Times New Roman" w:hAnsi="Times New Roman" w:cs="Times New Roman"/>
          <w:sz w:val="24"/>
          <w:szCs w:val="24"/>
        </w:rPr>
        <w:t>.</w:t>
      </w:r>
    </w:p>
    <w:p w:rsidR="00FA0BF3" w:rsidRDefault="00FA0BF3" w:rsidP="004E2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experimentu byla též prokázána pozitivní závislost účinnost</w:t>
      </w:r>
      <w:r w:rsidR="00E214A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mokřadu na adsorpčním koeficientu daného pesticidu, nicméně s rostoucím průtokem charakteristiky pesticidních látek ztrácejí na účinnost vliv a účinnost ob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ou typů mokřadu klesá s rostoucím průtokem nezávisle na typu pesticidu. 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Mgr. Antonín Zajíček, Ph.D., VÚMP,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hyperlink r:id="rId6" w:history="1">
        <w:r w:rsidRPr="00C70327">
          <w:rPr>
            <w:rStyle w:val="Hypertextovodkaz"/>
            <w:rFonts w:ascii="Times New Roman" w:hAnsi="Times New Roman" w:cs="Times New Roman"/>
            <w:sz w:val="24"/>
            <w:szCs w:val="24"/>
          </w:rPr>
          <w:t>zajicek.antonin@vumop.cz</w:t>
        </w:r>
      </w:hyperlink>
    </w:p>
    <w:sectPr w:rsidR="0004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0627B"/>
    <w:rsid w:val="00046C52"/>
    <w:rsid w:val="0009625E"/>
    <w:rsid w:val="00133BB8"/>
    <w:rsid w:val="00197DD1"/>
    <w:rsid w:val="001C2053"/>
    <w:rsid w:val="001E3A79"/>
    <w:rsid w:val="002D09C5"/>
    <w:rsid w:val="002E0F8F"/>
    <w:rsid w:val="00313741"/>
    <w:rsid w:val="00316D21"/>
    <w:rsid w:val="003B10D5"/>
    <w:rsid w:val="003B6FC4"/>
    <w:rsid w:val="00465546"/>
    <w:rsid w:val="004A28F2"/>
    <w:rsid w:val="004B3996"/>
    <w:rsid w:val="004E2205"/>
    <w:rsid w:val="004F1B2F"/>
    <w:rsid w:val="00702064"/>
    <w:rsid w:val="00817475"/>
    <w:rsid w:val="008C4A16"/>
    <w:rsid w:val="00970ECE"/>
    <w:rsid w:val="00996672"/>
    <w:rsid w:val="009F08E9"/>
    <w:rsid w:val="00A12772"/>
    <w:rsid w:val="00AA1372"/>
    <w:rsid w:val="00B13EE2"/>
    <w:rsid w:val="00C40206"/>
    <w:rsid w:val="00CE793F"/>
    <w:rsid w:val="00D70F56"/>
    <w:rsid w:val="00DF6B01"/>
    <w:rsid w:val="00E00B09"/>
    <w:rsid w:val="00E214A0"/>
    <w:rsid w:val="00EB3F4D"/>
    <w:rsid w:val="00F008F8"/>
    <w:rsid w:val="00F26037"/>
    <w:rsid w:val="00F529A3"/>
    <w:rsid w:val="00F73524"/>
    <w:rsid w:val="00F93AA3"/>
    <w:rsid w:val="00FA0BF3"/>
    <w:rsid w:val="00FB1147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jicek.antonin@vumop.cz" TargetMode="External"/><Relationship Id="rId5" Type="http://schemas.openxmlformats.org/officeDocument/2006/relationships/hyperlink" Target="https://www-sciencedirect-com.ezproxy.techlib.cz/science/article/pii/S0925857419302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7CDE-7574-4D62-B3C9-DE94688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Zajíček Antonín</cp:lastModifiedBy>
  <cp:revision>2</cp:revision>
  <dcterms:created xsi:type="dcterms:W3CDTF">2020-10-31T19:59:00Z</dcterms:created>
  <dcterms:modified xsi:type="dcterms:W3CDTF">2020-10-31T19:59:00Z</dcterms:modified>
</cp:coreProperties>
</file>