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9C" w:rsidRDefault="00C32F9C" w:rsidP="00C957CA">
      <w:pPr>
        <w:spacing w:line="240" w:lineRule="auto"/>
        <w:rPr>
          <w:b/>
        </w:rPr>
      </w:pPr>
      <w:r w:rsidRPr="00C957CA">
        <w:rPr>
          <w:b/>
        </w:rPr>
        <w:t xml:space="preserve">Analýza ekonomických a environmentálních efektů pozemkových úprav na příkladu obce </w:t>
      </w:r>
      <w:proofErr w:type="spellStart"/>
      <w:r w:rsidRPr="00C957CA">
        <w:rPr>
          <w:b/>
        </w:rPr>
        <w:t>Hucisko</w:t>
      </w:r>
      <w:proofErr w:type="spellEnd"/>
    </w:p>
    <w:p w:rsidR="00C957CA" w:rsidRPr="00C957CA" w:rsidRDefault="00C957CA" w:rsidP="00C957CA">
      <w:pPr>
        <w:spacing w:line="240" w:lineRule="auto"/>
        <w:rPr>
          <w:b/>
        </w:rPr>
      </w:pPr>
    </w:p>
    <w:p w:rsidR="00E604F2" w:rsidRDefault="006822E0" w:rsidP="00C957CA">
      <w:pPr>
        <w:spacing w:line="240" w:lineRule="auto"/>
        <w:rPr>
          <w:b/>
        </w:rPr>
      </w:pPr>
      <w:proofErr w:type="spellStart"/>
      <w:r w:rsidRPr="006822E0">
        <w:rPr>
          <w:b/>
        </w:rPr>
        <w:t>Analysis</w:t>
      </w:r>
      <w:proofErr w:type="spellEnd"/>
      <w:r w:rsidRPr="006822E0">
        <w:rPr>
          <w:b/>
        </w:rPr>
        <w:t xml:space="preserve"> of </w:t>
      </w:r>
      <w:proofErr w:type="spellStart"/>
      <w:r w:rsidRPr="006822E0">
        <w:rPr>
          <w:b/>
        </w:rPr>
        <w:t>economic</w:t>
      </w:r>
      <w:proofErr w:type="spellEnd"/>
      <w:r w:rsidRPr="006822E0">
        <w:rPr>
          <w:b/>
        </w:rPr>
        <w:t xml:space="preserve"> and </w:t>
      </w:r>
      <w:proofErr w:type="spellStart"/>
      <w:r w:rsidRPr="006822E0">
        <w:rPr>
          <w:b/>
        </w:rPr>
        <w:t>environmental</w:t>
      </w:r>
      <w:proofErr w:type="spellEnd"/>
      <w:r w:rsidRPr="006822E0">
        <w:rPr>
          <w:b/>
        </w:rPr>
        <w:t xml:space="preserve"> </w:t>
      </w:r>
      <w:proofErr w:type="spellStart"/>
      <w:r w:rsidRPr="006822E0">
        <w:rPr>
          <w:b/>
        </w:rPr>
        <w:t>effects</w:t>
      </w:r>
      <w:proofErr w:type="spellEnd"/>
      <w:r w:rsidRPr="006822E0">
        <w:rPr>
          <w:b/>
        </w:rPr>
        <w:t xml:space="preserve"> of </w:t>
      </w:r>
      <w:proofErr w:type="spellStart"/>
      <w:r w:rsidRPr="006822E0">
        <w:rPr>
          <w:b/>
        </w:rPr>
        <w:t>land</w:t>
      </w:r>
      <w:proofErr w:type="spellEnd"/>
      <w:r w:rsidRPr="006822E0">
        <w:rPr>
          <w:b/>
        </w:rPr>
        <w:t xml:space="preserve"> </w:t>
      </w:r>
      <w:proofErr w:type="spellStart"/>
      <w:r w:rsidRPr="006822E0">
        <w:rPr>
          <w:b/>
        </w:rPr>
        <w:t>consolidation</w:t>
      </w:r>
      <w:proofErr w:type="spellEnd"/>
      <w:r w:rsidRPr="006822E0">
        <w:rPr>
          <w:b/>
        </w:rPr>
        <w:t xml:space="preserve"> on </w:t>
      </w:r>
      <w:proofErr w:type="spellStart"/>
      <w:r w:rsidRPr="006822E0">
        <w:rPr>
          <w:b/>
        </w:rPr>
        <w:t>the</w:t>
      </w:r>
      <w:proofErr w:type="spellEnd"/>
      <w:r w:rsidRPr="006822E0">
        <w:rPr>
          <w:b/>
        </w:rPr>
        <w:t xml:space="preserve"> </w:t>
      </w:r>
      <w:proofErr w:type="spellStart"/>
      <w:r w:rsidRPr="006822E0">
        <w:rPr>
          <w:b/>
        </w:rPr>
        <w:t>example</w:t>
      </w:r>
      <w:proofErr w:type="spellEnd"/>
      <w:r w:rsidRPr="006822E0">
        <w:rPr>
          <w:b/>
        </w:rPr>
        <w:t xml:space="preserve"> of </w:t>
      </w:r>
      <w:proofErr w:type="spellStart"/>
      <w:r>
        <w:rPr>
          <w:b/>
        </w:rPr>
        <w:t>H</w:t>
      </w:r>
      <w:r w:rsidRPr="006822E0">
        <w:rPr>
          <w:b/>
        </w:rPr>
        <w:t>ucisko</w:t>
      </w:r>
      <w:proofErr w:type="spellEnd"/>
      <w:r w:rsidRPr="006822E0">
        <w:rPr>
          <w:b/>
        </w:rPr>
        <w:t xml:space="preserve"> </w:t>
      </w:r>
      <w:proofErr w:type="spellStart"/>
      <w:r w:rsidRPr="006822E0">
        <w:rPr>
          <w:b/>
        </w:rPr>
        <w:t>village</w:t>
      </w:r>
      <w:proofErr w:type="spellEnd"/>
    </w:p>
    <w:p w:rsidR="00C957CA" w:rsidRPr="006822E0" w:rsidRDefault="00C957CA" w:rsidP="00C957CA">
      <w:pPr>
        <w:spacing w:line="240" w:lineRule="auto"/>
        <w:rPr>
          <w:b/>
        </w:rPr>
      </w:pPr>
    </w:p>
    <w:p w:rsidR="00C957CA" w:rsidRDefault="006822E0" w:rsidP="00C957CA">
      <w:pPr>
        <w:spacing w:line="240" w:lineRule="auto"/>
      </w:pPr>
      <w:proofErr w:type="spellStart"/>
      <w:r>
        <w:t>Leń</w:t>
      </w:r>
      <w:proofErr w:type="spellEnd"/>
      <w:r w:rsidR="00C957CA">
        <w:t xml:space="preserve">, P. </w:t>
      </w:r>
      <w:proofErr w:type="spellStart"/>
      <w:proofErr w:type="gramStart"/>
      <w:r>
        <w:t>Król</w:t>
      </w:r>
      <w:proofErr w:type="spellEnd"/>
      <w:r w:rsidR="00C957CA">
        <w:t>, Z.2016</w:t>
      </w:r>
      <w:proofErr w:type="gramEnd"/>
      <w:r w:rsidR="00C957CA">
        <w:t>.</w:t>
      </w:r>
      <w:r w:rsidR="00C957CA" w:rsidRPr="00C957CA">
        <w:rPr>
          <w:b/>
        </w:rPr>
        <w:t xml:space="preserve"> </w:t>
      </w:r>
      <w:proofErr w:type="spellStart"/>
      <w:r w:rsidR="00C957CA" w:rsidRPr="00C957CA">
        <w:t>Analysis</w:t>
      </w:r>
      <w:proofErr w:type="spellEnd"/>
      <w:r w:rsidR="00C957CA" w:rsidRPr="00C957CA">
        <w:t xml:space="preserve"> of </w:t>
      </w:r>
      <w:proofErr w:type="spellStart"/>
      <w:r w:rsidR="00C957CA" w:rsidRPr="00C957CA">
        <w:t>economic</w:t>
      </w:r>
      <w:proofErr w:type="spellEnd"/>
      <w:r w:rsidR="00C957CA" w:rsidRPr="00C957CA">
        <w:t xml:space="preserve"> and </w:t>
      </w:r>
      <w:proofErr w:type="spellStart"/>
      <w:r w:rsidR="00C957CA" w:rsidRPr="00C957CA">
        <w:t>environmental</w:t>
      </w:r>
      <w:proofErr w:type="spellEnd"/>
      <w:r w:rsidR="00C957CA" w:rsidRPr="00C957CA">
        <w:t xml:space="preserve"> </w:t>
      </w:r>
      <w:proofErr w:type="spellStart"/>
      <w:r w:rsidR="00C957CA" w:rsidRPr="00C957CA">
        <w:t>effects</w:t>
      </w:r>
      <w:proofErr w:type="spellEnd"/>
      <w:r w:rsidR="00C957CA" w:rsidRPr="00C957CA">
        <w:t xml:space="preserve"> of </w:t>
      </w:r>
      <w:proofErr w:type="spellStart"/>
      <w:r w:rsidR="00C957CA" w:rsidRPr="00C957CA">
        <w:t>land</w:t>
      </w:r>
      <w:proofErr w:type="spellEnd"/>
      <w:r w:rsidR="00C957CA" w:rsidRPr="00C957CA">
        <w:t xml:space="preserve"> </w:t>
      </w:r>
      <w:proofErr w:type="spellStart"/>
      <w:r w:rsidR="00C957CA" w:rsidRPr="00C957CA">
        <w:t>consolidation</w:t>
      </w:r>
      <w:proofErr w:type="spellEnd"/>
      <w:r w:rsidR="00C957CA" w:rsidRPr="00C957CA">
        <w:t xml:space="preserve"> on </w:t>
      </w:r>
      <w:proofErr w:type="spellStart"/>
      <w:r w:rsidR="00C957CA" w:rsidRPr="00C957CA">
        <w:t>the</w:t>
      </w:r>
      <w:proofErr w:type="spellEnd"/>
      <w:r w:rsidR="00C957CA" w:rsidRPr="00C957CA">
        <w:t xml:space="preserve"> </w:t>
      </w:r>
      <w:proofErr w:type="spellStart"/>
      <w:r w:rsidR="00C957CA" w:rsidRPr="00C957CA">
        <w:t>example</w:t>
      </w:r>
      <w:proofErr w:type="spellEnd"/>
      <w:r w:rsidR="00C957CA" w:rsidRPr="00C957CA">
        <w:t xml:space="preserve"> of </w:t>
      </w:r>
      <w:proofErr w:type="spellStart"/>
      <w:r w:rsidR="00C957CA" w:rsidRPr="00C957CA">
        <w:t>Hucisko</w:t>
      </w:r>
      <w:proofErr w:type="spellEnd"/>
      <w:r w:rsidR="00C957CA" w:rsidRPr="00C957CA">
        <w:t xml:space="preserve"> </w:t>
      </w:r>
      <w:proofErr w:type="spellStart"/>
      <w:r w:rsidR="00C957CA" w:rsidRPr="00C957CA">
        <w:t>village</w:t>
      </w:r>
      <w:proofErr w:type="spellEnd"/>
      <w:r w:rsidR="00C957CA">
        <w:t xml:space="preserve">. </w:t>
      </w:r>
      <w:r w:rsidR="00C957CA">
        <w:t xml:space="preserve">Journal of </w:t>
      </w:r>
      <w:proofErr w:type="spellStart"/>
      <w:r w:rsidR="00C957CA">
        <w:t>Ecological</w:t>
      </w:r>
      <w:proofErr w:type="spellEnd"/>
      <w:r w:rsidR="00C957CA">
        <w:t xml:space="preserve"> </w:t>
      </w:r>
      <w:proofErr w:type="spellStart"/>
      <w:r w:rsidR="00C957CA">
        <w:t>Engineering</w:t>
      </w:r>
      <w:proofErr w:type="spellEnd"/>
      <w:r w:rsidR="00C957CA">
        <w:t xml:space="preserve"> </w:t>
      </w:r>
      <w:proofErr w:type="spellStart"/>
      <w:r w:rsidR="00C957CA">
        <w:t>Volume</w:t>
      </w:r>
      <w:proofErr w:type="spellEnd"/>
      <w:r w:rsidR="00C957CA">
        <w:t xml:space="preserve"> 17, </w:t>
      </w:r>
      <w:proofErr w:type="spellStart"/>
      <w:r w:rsidR="00C957CA">
        <w:t>Issue</w:t>
      </w:r>
      <w:proofErr w:type="spellEnd"/>
      <w:r w:rsidR="00C957CA">
        <w:t xml:space="preserve"> 5, </w:t>
      </w:r>
      <w:proofErr w:type="spellStart"/>
      <w:r w:rsidR="00C957CA">
        <w:t>pages</w:t>
      </w:r>
      <w:proofErr w:type="spellEnd"/>
      <w:r w:rsidR="00C957CA">
        <w:t xml:space="preserve"> 232–239.</w:t>
      </w:r>
    </w:p>
    <w:p w:rsidR="00C957CA" w:rsidRDefault="00C957CA" w:rsidP="00C957CA">
      <w:pPr>
        <w:spacing w:line="240" w:lineRule="auto"/>
      </w:pPr>
    </w:p>
    <w:p w:rsidR="00C957CA" w:rsidRDefault="00C957CA" w:rsidP="00C957CA">
      <w:pPr>
        <w:spacing w:line="240" w:lineRule="auto"/>
      </w:pPr>
      <w:r w:rsidRPr="00C957CA">
        <w:rPr>
          <w:b/>
        </w:rPr>
        <w:t>Klíčová slova:</w:t>
      </w:r>
      <w:r>
        <w:rPr>
          <w:b/>
        </w:rPr>
        <w:t xml:space="preserve"> </w:t>
      </w:r>
      <w:r w:rsidRPr="00C957CA">
        <w:t xml:space="preserve">pozemkové úpravy, fragmentace pozemků, </w:t>
      </w:r>
      <w:r>
        <w:t>opatření v krajině</w:t>
      </w:r>
    </w:p>
    <w:p w:rsidR="007E7BBC" w:rsidRPr="00C957CA" w:rsidRDefault="007E7BBC" w:rsidP="00C957CA">
      <w:pPr>
        <w:spacing w:line="240" w:lineRule="auto"/>
        <w:rPr>
          <w:b/>
        </w:rPr>
      </w:pPr>
    </w:p>
    <w:p w:rsidR="00564D99" w:rsidRDefault="00C957CA" w:rsidP="00C957CA">
      <w:pPr>
        <w:spacing w:line="240" w:lineRule="auto"/>
        <w:rPr>
          <w:rStyle w:val="Hypertextovodkaz"/>
        </w:rPr>
      </w:pPr>
      <w:r w:rsidRPr="00C957CA">
        <w:t>Dostupné z</w:t>
      </w:r>
      <w:r>
        <w:rPr>
          <w:rStyle w:val="Hypertextovodkaz"/>
        </w:rPr>
        <w:t xml:space="preserve">: </w:t>
      </w:r>
      <w:hyperlink r:id="rId5" w:history="1">
        <w:r w:rsidR="00564D99">
          <w:rPr>
            <w:rStyle w:val="Hypertextovodkaz"/>
          </w:rPr>
          <w:t>http://www.jeeng.net/ANALYSIS-OF-ECONOMIC-AND-ENVIRONMENTAL-EFFECTS-OF-LAND-CONSOLIDATION-ON-THE-EXAMPLE-OF-THE-VILLAGE-HUCISKO,65090,0,2.html</w:t>
        </w:r>
      </w:hyperlink>
    </w:p>
    <w:p w:rsidR="007E7BBC" w:rsidRDefault="007E7BBC" w:rsidP="00C957CA">
      <w:pPr>
        <w:spacing w:line="240" w:lineRule="auto"/>
      </w:pPr>
      <w:bookmarkStart w:id="0" w:name="_GoBack"/>
      <w:bookmarkEnd w:id="0"/>
    </w:p>
    <w:p w:rsidR="003626A3" w:rsidRDefault="004A74BD" w:rsidP="00C957CA">
      <w:pPr>
        <w:spacing w:line="240" w:lineRule="auto"/>
      </w:pPr>
      <w:r>
        <w:t>Oblast Pod</w:t>
      </w:r>
      <w:r w:rsidR="00C32F9C">
        <w:t xml:space="preserve">karpatské provincie, kde leží obec </w:t>
      </w:r>
      <w:proofErr w:type="spellStart"/>
      <w:r w:rsidR="00C32F9C">
        <w:t>Hucisko</w:t>
      </w:r>
      <w:proofErr w:type="spellEnd"/>
      <w:r w:rsidR="00C32F9C">
        <w:t>, je charakteristická velkou fragmentací</w:t>
      </w:r>
      <w:r w:rsidR="00DC7762">
        <w:t xml:space="preserve"> pozemků, nevhodnými tvary pozemků a jejich malými výměrami.  Situace by</w:t>
      </w:r>
      <w:r w:rsidR="007E7BBC">
        <w:t xml:space="preserve">la dána </w:t>
      </w:r>
      <w:r w:rsidR="00DC7762">
        <w:t xml:space="preserve">zemědělskou politikou po 2. Světové válce. Po roce 2003 byly nastartovány změny, dané Společnou zemědělskou politikou Evropské Unie. Tyto změny mají vest k ekonomickému rozvoji venkovských oblastí, zvýšení jejich atraktivity a posílení zemědělského sektoru za současné ochrany environmentálních hodnot. V tomto procesu hrají významnou roli pozemkové úpravy. </w:t>
      </w:r>
      <w:r w:rsidR="001363C1">
        <w:t>Studované území bylo vy</w:t>
      </w:r>
      <w:r w:rsidR="00C957CA">
        <w:t>bráno za účelem hodnocení ekono</w:t>
      </w:r>
      <w:r w:rsidR="001363C1">
        <w:t>mických a environmentálních efektů pozemkových úp</w:t>
      </w:r>
      <w:r w:rsidR="007E7BBC">
        <w:t xml:space="preserve">rav. Celková výměra oblasti je </w:t>
      </w:r>
      <w:r w:rsidR="001363C1">
        <w:t xml:space="preserve">579,34 ha, procesem pozemkových úprav bylo dotčeno území 438,37 ha. Území je rozděleno do 2383 parcel. </w:t>
      </w:r>
      <w:r>
        <w:t xml:space="preserve"> Průměrná výměra parcel území je 0,18 ha. Přitom pozemky menší než 0,1 ha nemohou být zařazeny do systému přímých plateb z Evropské Unie, což je velká ekonomická ztráta pro majitele pozemků. Prostorové rozmístění pozemků je nevyhovující. Je zde mnoho </w:t>
      </w:r>
      <w:r w:rsidR="007E7BBC">
        <w:t>malých farem s velkým po</w:t>
      </w:r>
      <w:r w:rsidR="0090560E">
        <w:t>čtem parcel menších než 0,1 ha. Analýza environmentálních dopadů ukázala pozitivní efekt v zalesnění méně úrodných půd (3,1 ha) d</w:t>
      </w:r>
      <w:r w:rsidR="007E7BBC">
        <w:t>á</w:t>
      </w:r>
      <w:r w:rsidR="0090560E">
        <w:t xml:space="preserve">le bylo doporučeno organické zemědělství, rozvoj turismu, udržení břehových a doprovodných porostů podél cest, zlepšení hospodaření s povrchovými, podzemními a odpadními vodami. </w:t>
      </w:r>
    </w:p>
    <w:p w:rsidR="00C32F9C" w:rsidRDefault="003626A3" w:rsidP="00C957CA">
      <w:pPr>
        <w:spacing w:line="240" w:lineRule="auto"/>
      </w:pPr>
      <w:r>
        <w:t xml:space="preserve">V rámci pozemkových úprav byla realizována opatření jak pro rozvoj </w:t>
      </w:r>
      <w:proofErr w:type="spellStart"/>
      <w:r>
        <w:t>intravilánu</w:t>
      </w:r>
      <w:proofErr w:type="spellEnd"/>
      <w:r>
        <w:t>, tak pro rozvoj zeměd</w:t>
      </w:r>
      <w:r w:rsidR="00C957CA">
        <w:t>ě</w:t>
      </w:r>
      <w:r w:rsidR="007E7BBC">
        <w:t>lství, lesnictví a vod</w:t>
      </w:r>
      <w:r>
        <w:t>ního hospodář</w:t>
      </w:r>
      <w:r w:rsidR="007E7BBC">
        <w:t xml:space="preserve">ství.  Počet parcel byl snížen </w:t>
      </w:r>
      <w:r>
        <w:t xml:space="preserve">z 2355 na 1568., byly optimalizovány tvary pozemků. Byly vybudovány přístupové cesty k pozemkům, rekonstrukce a obnova melioračních staveb, provedena </w:t>
      </w:r>
      <w:proofErr w:type="spellStart"/>
      <w:r>
        <w:t>remediace</w:t>
      </w:r>
      <w:proofErr w:type="spellEnd"/>
      <w:r>
        <w:t xml:space="preserve"> nevyužívané zemědě</w:t>
      </w:r>
      <w:r w:rsidR="007E7BBC">
        <w:t>lské půdy o rozloze 40 ha</w:t>
      </w:r>
      <w:r>
        <w:t xml:space="preserve"> atd.  Výstupem pozemkových úprav bylo obnovení katastrálního operátu</w:t>
      </w:r>
      <w:r w:rsidR="006822E0">
        <w:t xml:space="preserve"> na zákla</w:t>
      </w:r>
      <w:r w:rsidR="007E7BBC">
        <w:t>d</w:t>
      </w:r>
      <w:r w:rsidR="006822E0">
        <w:t>ě zaměření skutečného stavu</w:t>
      </w:r>
      <w:r>
        <w:t>,</w:t>
      </w:r>
      <w:r w:rsidR="006822E0">
        <w:t xml:space="preserve"> stanovení nových hranic pozemků, vytvoření mapy nového uspořádání pozemků.</w:t>
      </w:r>
    </w:p>
    <w:p w:rsidR="007E7BBC" w:rsidRDefault="007E7BBC" w:rsidP="00C957CA">
      <w:pPr>
        <w:spacing w:line="240" w:lineRule="auto"/>
      </w:pPr>
    </w:p>
    <w:p w:rsidR="007E7BBC" w:rsidRDefault="007E7BBC" w:rsidP="00C957CA">
      <w:pPr>
        <w:spacing w:line="240" w:lineRule="auto"/>
      </w:pPr>
      <w:r w:rsidRPr="007E7BBC">
        <w:rPr>
          <w:b/>
        </w:rPr>
        <w:t>Zpracovala</w:t>
      </w:r>
      <w:r>
        <w:t>: doc. Ing. Jana Podhrázská, Ph.D., MENDELU v Brně, podhrazska.jana@vumop.cz</w:t>
      </w:r>
    </w:p>
    <w:sectPr w:rsidR="007E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2056D"/>
    <w:multiLevelType w:val="multilevel"/>
    <w:tmpl w:val="D2C4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D31882"/>
    <w:multiLevelType w:val="multilevel"/>
    <w:tmpl w:val="2038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9C"/>
    <w:rsid w:val="001363C1"/>
    <w:rsid w:val="00285CE5"/>
    <w:rsid w:val="003626A3"/>
    <w:rsid w:val="00417E7B"/>
    <w:rsid w:val="004A74BD"/>
    <w:rsid w:val="00564D99"/>
    <w:rsid w:val="006822E0"/>
    <w:rsid w:val="007E7BBC"/>
    <w:rsid w:val="0090560E"/>
    <w:rsid w:val="00C32F9C"/>
    <w:rsid w:val="00C957CA"/>
    <w:rsid w:val="00DC7762"/>
    <w:rsid w:val="00E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1AEF8-0D47-4084-8C33-18237323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CE5"/>
    <w:pPr>
      <w:spacing w:after="0" w:line="480" w:lineRule="auto"/>
      <w:jc w:val="both"/>
    </w:pPr>
    <w:rPr>
      <w:rFonts w:ascii="Times New Roman" w:hAnsi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5CE5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CE5"/>
    <w:pPr>
      <w:keepNext/>
      <w:keepLines/>
      <w:numPr>
        <w:ilvl w:val="1"/>
        <w:numId w:val="7"/>
      </w:numPr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CE5"/>
    <w:pPr>
      <w:keepNext/>
      <w:keepLines/>
      <w:numPr>
        <w:ilvl w:val="2"/>
        <w:numId w:val="7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5CE5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CE5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CE5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CE5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CE5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tabulka">
    <w:name w:val="data_tabulka"/>
    <w:basedOn w:val="Bezmezer"/>
    <w:next w:val="Normln"/>
    <w:qFormat/>
    <w:rsid w:val="00285CE5"/>
    <w:pPr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styleId="Bezmezer">
    <w:name w:val="No Spacing"/>
    <w:uiPriority w:val="1"/>
    <w:rsid w:val="00285CE5"/>
    <w:pPr>
      <w:spacing w:after="0" w:line="240" w:lineRule="auto"/>
    </w:pPr>
  </w:style>
  <w:style w:type="paragraph" w:customStyle="1" w:styleId="vzorec">
    <w:name w:val="vzorec"/>
    <w:basedOn w:val="Normln"/>
    <w:link w:val="vzorecChar"/>
    <w:qFormat/>
    <w:rsid w:val="00285CE5"/>
    <w:pPr>
      <w:tabs>
        <w:tab w:val="right" w:pos="8505"/>
      </w:tabs>
    </w:pPr>
    <w:rPr>
      <w:rFonts w:ascii="Cambria Math" w:eastAsia="Times New Roman" w:hAnsi="Cambria Math" w:cs="Times New Roman"/>
      <w:i/>
    </w:rPr>
  </w:style>
  <w:style w:type="character" w:customStyle="1" w:styleId="vzorecChar">
    <w:name w:val="vzorec Char"/>
    <w:basedOn w:val="Standardnpsmoodstavce"/>
    <w:link w:val="vzorec"/>
    <w:rsid w:val="00285CE5"/>
    <w:rPr>
      <w:rFonts w:ascii="Cambria Math" w:eastAsia="Times New Roman" w:hAnsi="Cambria Math" w:cs="Times New Roman"/>
      <w:i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85CE5"/>
    <w:rPr>
      <w:rFonts w:ascii="Times New Roman" w:eastAsiaTheme="majorEastAsia" w:hAnsi="Times New Roman" w:cstheme="majorBidi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5CE5"/>
    <w:rPr>
      <w:rFonts w:ascii="Times New Roman" w:eastAsiaTheme="majorEastAsia" w:hAnsi="Times New Roman" w:cstheme="majorBidi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5CE5"/>
    <w:rPr>
      <w:rFonts w:ascii="Times New Roman" w:eastAsiaTheme="majorEastAsia" w:hAnsi="Times New Roman" w:cstheme="majorBidi"/>
      <w:b/>
      <w:bC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85CE5"/>
    <w:rPr>
      <w:rFonts w:ascii="Times New Roman" w:eastAsiaTheme="majorEastAsia" w:hAnsi="Times New Roman" w:cstheme="majorBidi"/>
      <w:b/>
      <w:bCs/>
      <w:i/>
      <w:iC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CE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CE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C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C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85CE5"/>
    <w:pPr>
      <w:spacing w:after="200" w:line="240" w:lineRule="auto"/>
    </w:pPr>
    <w:rPr>
      <w:rFonts w:eastAsia="Times New Roman" w:cs="Times New Roman"/>
      <w:b/>
      <w:bCs/>
      <w:sz w:val="22"/>
      <w:szCs w:val="18"/>
    </w:rPr>
  </w:style>
  <w:style w:type="character" w:styleId="Zdraznn">
    <w:name w:val="Emphasis"/>
    <w:basedOn w:val="Standardnpsmoodstavce"/>
    <w:uiPriority w:val="20"/>
    <w:qFormat/>
    <w:rsid w:val="00285CE5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5CE5"/>
    <w:pP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4BD"/>
    <w:rPr>
      <w:rFonts w:ascii="Segoe UI" w:hAnsi="Segoe UI" w:cs="Segoe UI"/>
      <w:sz w:val="18"/>
      <w:szCs w:val="18"/>
      <w:lang w:val="en-GB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4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eng.net/ANALYSIS-OF-ECONOMIC-AND-ENVIRONMENTAL-EFFECTS-OF-LAND-CONSOLIDATION-ON-THE-EXAMPLE-OF-THE-VILLAGE-HUCISKO,65090,0,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Vlastní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4</cp:revision>
  <dcterms:created xsi:type="dcterms:W3CDTF">2019-07-22T11:03:00Z</dcterms:created>
  <dcterms:modified xsi:type="dcterms:W3CDTF">2019-07-23T06:53:00Z</dcterms:modified>
</cp:coreProperties>
</file>