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75F" w:rsidRDefault="00B4775F"/>
    <w:p w:rsidR="00C61804" w:rsidRDefault="00C61804" w:rsidP="00C61804">
      <w:pPr>
        <w:spacing w:after="240"/>
        <w:rPr>
          <w:rFonts w:ascii="Times New Roman" w:hAnsi="Times New Roman" w:cs="Times New Roman"/>
          <w:b/>
          <w:sz w:val="28"/>
          <w:szCs w:val="28"/>
        </w:rPr>
      </w:pPr>
      <w:r w:rsidRPr="00C61804">
        <w:rPr>
          <w:rFonts w:ascii="Times New Roman" w:hAnsi="Times New Roman" w:cs="Times New Roman"/>
          <w:b/>
          <w:sz w:val="28"/>
          <w:szCs w:val="28"/>
        </w:rPr>
        <w:t>Kontaminace půdy</w:t>
      </w:r>
    </w:p>
    <w:p w:rsidR="00C61804" w:rsidRPr="00C61804" w:rsidRDefault="00C61804" w:rsidP="00C61804">
      <w:pPr>
        <w:spacing w:after="240"/>
        <w:rPr>
          <w:rFonts w:ascii="Times New Roman" w:hAnsi="Times New Roman" w:cs="Times New Roman"/>
          <w:smallCaps/>
          <w:sz w:val="24"/>
          <w:szCs w:val="24"/>
        </w:rPr>
      </w:pPr>
      <w:r w:rsidRPr="00C61804">
        <w:rPr>
          <w:rFonts w:ascii="Times New Roman" w:hAnsi="Times New Roman" w:cs="Times New Roman"/>
          <w:sz w:val="24"/>
          <w:szCs w:val="24"/>
        </w:rPr>
        <w:t>Vácha, R.</w:t>
      </w:r>
    </w:p>
    <w:p w:rsidR="006D1832" w:rsidRPr="003B581C" w:rsidRDefault="00B105CA" w:rsidP="00594789">
      <w:pPr>
        <w:pStyle w:val="Odstavecseseznamem"/>
        <w:numPr>
          <w:ilvl w:val="0"/>
          <w:numId w:val="2"/>
        </w:numPr>
        <w:spacing w:after="120" w:line="360" w:lineRule="auto"/>
        <w:ind w:left="714" w:hanging="357"/>
        <w:rPr>
          <w:rFonts w:ascii="Times New Roman" w:hAnsi="Times New Roman" w:cs="Times New Roman"/>
          <w:i/>
          <w:sz w:val="24"/>
          <w:szCs w:val="24"/>
        </w:rPr>
      </w:pPr>
      <w:r w:rsidRPr="003B581C">
        <w:rPr>
          <w:rFonts w:ascii="Times New Roman" w:hAnsi="Times New Roman" w:cs="Times New Roman"/>
          <w:i/>
          <w:sz w:val="24"/>
          <w:szCs w:val="24"/>
        </w:rPr>
        <w:t>Vymezení pojmu</w:t>
      </w:r>
      <w:r w:rsidR="006D1832" w:rsidRPr="003B581C">
        <w:rPr>
          <w:rFonts w:ascii="Times New Roman" w:hAnsi="Times New Roman" w:cs="Times New Roman"/>
          <w:i/>
          <w:sz w:val="24"/>
          <w:szCs w:val="24"/>
        </w:rPr>
        <w:t xml:space="preserve"> kontaminace půdy</w:t>
      </w:r>
    </w:p>
    <w:p w:rsidR="00B31F37" w:rsidRDefault="006D1832" w:rsidP="00A948CA">
      <w:pPr>
        <w:spacing w:line="240" w:lineRule="auto"/>
        <w:rPr>
          <w:rFonts w:ascii="Times New Roman" w:hAnsi="Times New Roman" w:cs="Times New Roman"/>
          <w:sz w:val="24"/>
          <w:szCs w:val="24"/>
        </w:rPr>
      </w:pPr>
      <w:r>
        <w:rPr>
          <w:rFonts w:ascii="Times New Roman" w:hAnsi="Times New Roman" w:cs="Times New Roman"/>
          <w:sz w:val="24"/>
          <w:szCs w:val="24"/>
        </w:rPr>
        <w:t xml:space="preserve">Kontaminací půdy se rozumí nadměrný obsah nežádoucích prvků nebo látek (kontaminantů, polutantů) v půdách, který může vést k nežádoucím projevům. Jedná se o jednu ze základních forem degradace půdy, </w:t>
      </w:r>
      <w:r w:rsidR="00DA08C6">
        <w:rPr>
          <w:rFonts w:ascii="Times New Roman" w:hAnsi="Times New Roman" w:cs="Times New Roman"/>
          <w:sz w:val="24"/>
          <w:szCs w:val="24"/>
        </w:rPr>
        <w:t>kterou uvádí např. „</w:t>
      </w:r>
      <w:proofErr w:type="spellStart"/>
      <w:r w:rsidR="00DA08C6">
        <w:rPr>
          <w:rFonts w:ascii="Times New Roman" w:hAnsi="Times New Roman" w:cs="Times New Roman"/>
          <w:sz w:val="24"/>
          <w:szCs w:val="24"/>
        </w:rPr>
        <w:t>Soil</w:t>
      </w:r>
      <w:proofErr w:type="spellEnd"/>
      <w:r w:rsidR="00DA08C6">
        <w:rPr>
          <w:rFonts w:ascii="Times New Roman" w:hAnsi="Times New Roman" w:cs="Times New Roman"/>
          <w:sz w:val="24"/>
          <w:szCs w:val="24"/>
        </w:rPr>
        <w:t xml:space="preserve"> </w:t>
      </w:r>
      <w:proofErr w:type="spellStart"/>
      <w:r w:rsidR="00DA08C6">
        <w:rPr>
          <w:rFonts w:ascii="Times New Roman" w:hAnsi="Times New Roman" w:cs="Times New Roman"/>
          <w:sz w:val="24"/>
          <w:szCs w:val="24"/>
        </w:rPr>
        <w:t>T</w:t>
      </w:r>
      <w:r>
        <w:rPr>
          <w:rFonts w:ascii="Times New Roman" w:hAnsi="Times New Roman" w:cs="Times New Roman"/>
          <w:sz w:val="24"/>
          <w:szCs w:val="24"/>
        </w:rPr>
        <w:t>hematic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Strategy</w:t>
      </w:r>
      <w:proofErr w:type="spellEnd"/>
      <w:r>
        <w:rPr>
          <w:rFonts w:ascii="Times New Roman" w:hAnsi="Times New Roman" w:cs="Times New Roman"/>
          <w:sz w:val="24"/>
          <w:szCs w:val="24"/>
        </w:rPr>
        <w:t xml:space="preserve">“. Definování těchto nežádoucích jevů lze rozdělit do několika </w:t>
      </w:r>
      <w:r w:rsidR="001F59C3">
        <w:rPr>
          <w:rFonts w:ascii="Times New Roman" w:hAnsi="Times New Roman" w:cs="Times New Roman"/>
          <w:sz w:val="24"/>
          <w:szCs w:val="24"/>
        </w:rPr>
        <w:t>stupňů</w:t>
      </w:r>
      <w:r>
        <w:rPr>
          <w:rFonts w:ascii="Times New Roman" w:hAnsi="Times New Roman" w:cs="Times New Roman"/>
          <w:sz w:val="24"/>
          <w:szCs w:val="24"/>
        </w:rPr>
        <w:t xml:space="preserve"> v závislosti na míře kontaminace. Iniciální kontaminací se rozumí stav, kdy je překročen přírodně daný obsah sledovaných prvků či látek v půdě (především </w:t>
      </w:r>
      <w:r w:rsidR="003A72E1">
        <w:rPr>
          <w:rFonts w:ascii="Times New Roman" w:hAnsi="Times New Roman" w:cs="Times New Roman"/>
          <w:sz w:val="24"/>
          <w:szCs w:val="24"/>
        </w:rPr>
        <w:t xml:space="preserve">určený jejich </w:t>
      </w:r>
      <w:r>
        <w:rPr>
          <w:rFonts w:ascii="Times New Roman" w:hAnsi="Times New Roman" w:cs="Times New Roman"/>
          <w:sz w:val="24"/>
          <w:szCs w:val="24"/>
        </w:rPr>
        <w:t>obsah</w:t>
      </w:r>
      <w:r w:rsidR="003A72E1">
        <w:rPr>
          <w:rFonts w:ascii="Times New Roman" w:hAnsi="Times New Roman" w:cs="Times New Roman"/>
          <w:sz w:val="24"/>
          <w:szCs w:val="24"/>
        </w:rPr>
        <w:t>em</w:t>
      </w:r>
      <w:r>
        <w:rPr>
          <w:rFonts w:ascii="Times New Roman" w:hAnsi="Times New Roman" w:cs="Times New Roman"/>
          <w:sz w:val="24"/>
          <w:szCs w:val="24"/>
        </w:rPr>
        <w:t xml:space="preserve"> v půdotvorných substrátech). Vyšší úroveň kontaminace</w:t>
      </w:r>
      <w:r w:rsidR="00B105CA">
        <w:rPr>
          <w:rFonts w:ascii="Times New Roman" w:hAnsi="Times New Roman" w:cs="Times New Roman"/>
          <w:sz w:val="24"/>
          <w:szCs w:val="24"/>
        </w:rPr>
        <w:t xml:space="preserve"> pak může </w:t>
      </w:r>
      <w:r w:rsidR="00B31F37">
        <w:rPr>
          <w:rFonts w:ascii="Times New Roman" w:hAnsi="Times New Roman" w:cs="Times New Roman"/>
          <w:sz w:val="24"/>
          <w:szCs w:val="24"/>
        </w:rPr>
        <w:t>znamenat tato rizika</w:t>
      </w:r>
      <w:r w:rsidR="00DA08C6">
        <w:rPr>
          <w:rFonts w:ascii="Times New Roman" w:hAnsi="Times New Roman" w:cs="Times New Roman"/>
          <w:sz w:val="24"/>
          <w:szCs w:val="24"/>
        </w:rPr>
        <w:t xml:space="preserve"> (Vácha et Sáňka, 2009)</w:t>
      </w:r>
      <w:r w:rsidR="00B31F37">
        <w:rPr>
          <w:rFonts w:ascii="Times New Roman" w:hAnsi="Times New Roman" w:cs="Times New Roman"/>
          <w:sz w:val="24"/>
          <w:szCs w:val="24"/>
        </w:rPr>
        <w:t>:</w:t>
      </w:r>
    </w:p>
    <w:p w:rsidR="00B31F37" w:rsidRPr="00B31F37" w:rsidRDefault="00B31F37" w:rsidP="00A948CA">
      <w:pPr>
        <w:numPr>
          <w:ilvl w:val="0"/>
          <w:numId w:val="1"/>
        </w:numPr>
        <w:spacing w:after="120" w:line="240" w:lineRule="auto"/>
        <w:ind w:left="714" w:hanging="357"/>
        <w:jc w:val="both"/>
        <w:rPr>
          <w:rFonts w:ascii="Times New Roman" w:hAnsi="Times New Roman" w:cs="Times New Roman"/>
          <w:sz w:val="24"/>
          <w:szCs w:val="24"/>
        </w:rPr>
      </w:pPr>
      <w:r w:rsidRPr="00B31F37">
        <w:rPr>
          <w:rFonts w:ascii="Times New Roman" w:hAnsi="Times New Roman" w:cs="Times New Roman"/>
          <w:sz w:val="24"/>
          <w:szCs w:val="24"/>
        </w:rPr>
        <w:t>Zvýšen</w:t>
      </w:r>
      <w:r>
        <w:rPr>
          <w:rFonts w:ascii="Times New Roman" w:hAnsi="Times New Roman" w:cs="Times New Roman"/>
          <w:sz w:val="24"/>
          <w:szCs w:val="24"/>
        </w:rPr>
        <w:t>ou</w:t>
      </w:r>
      <w:r w:rsidRPr="00B31F37">
        <w:rPr>
          <w:rFonts w:ascii="Times New Roman" w:hAnsi="Times New Roman" w:cs="Times New Roman"/>
          <w:sz w:val="24"/>
          <w:szCs w:val="24"/>
        </w:rPr>
        <w:t xml:space="preserve"> zátěž potravního řetězce, způsoben</w:t>
      </w:r>
      <w:r>
        <w:rPr>
          <w:rFonts w:ascii="Times New Roman" w:hAnsi="Times New Roman" w:cs="Times New Roman"/>
          <w:sz w:val="24"/>
          <w:szCs w:val="24"/>
        </w:rPr>
        <w:t>ou</w:t>
      </w:r>
      <w:r w:rsidRPr="00B31F37">
        <w:rPr>
          <w:rFonts w:ascii="Times New Roman" w:hAnsi="Times New Roman" w:cs="Times New Roman"/>
          <w:sz w:val="24"/>
          <w:szCs w:val="24"/>
        </w:rPr>
        <w:t xml:space="preserve"> vstupem kontaminantů z půdy do rostlin, transferovou cestou půda – rostlina přes kořeny rostlin, vedoucí k překročení kritické zátěže rostlin (překročení limitních hodnot rizikových látek v pícninách a rostlinné produkci pro krmivářské a potravinářské využití).</w:t>
      </w:r>
    </w:p>
    <w:p w:rsidR="00B31F37" w:rsidRPr="00B31F37" w:rsidRDefault="00B31F37" w:rsidP="00A948CA">
      <w:pPr>
        <w:numPr>
          <w:ilvl w:val="0"/>
          <w:numId w:val="1"/>
        </w:numPr>
        <w:spacing w:after="120" w:line="240" w:lineRule="auto"/>
        <w:ind w:left="714" w:hanging="357"/>
        <w:jc w:val="both"/>
        <w:rPr>
          <w:rFonts w:ascii="Times New Roman" w:hAnsi="Times New Roman" w:cs="Times New Roman"/>
          <w:sz w:val="24"/>
          <w:szCs w:val="24"/>
        </w:rPr>
      </w:pPr>
      <w:r w:rsidRPr="00B31F37">
        <w:rPr>
          <w:rFonts w:ascii="Times New Roman" w:hAnsi="Times New Roman" w:cs="Times New Roman"/>
          <w:sz w:val="24"/>
          <w:szCs w:val="24"/>
        </w:rPr>
        <w:t>Překročení hodnot fytotoxicity u vybraných rizikových prvků, které může vést k významné redukci růstu rostlin a významnému snížení výnosu zemědělských plodin. Výrazné omezení růstu rostlin může také způsobit nedostatečnou ochranu povrchu půdy rostlinným pokryvem, s následujícími degradačními procesy (odnos půdních částic vodní a větrnou erozí atd.).</w:t>
      </w:r>
    </w:p>
    <w:p w:rsidR="00B31F37" w:rsidRPr="00B31F37" w:rsidRDefault="00B31F37" w:rsidP="00A948CA">
      <w:pPr>
        <w:numPr>
          <w:ilvl w:val="0"/>
          <w:numId w:val="1"/>
        </w:numPr>
        <w:spacing w:after="120" w:line="240" w:lineRule="auto"/>
        <w:ind w:left="714" w:hanging="357"/>
        <w:jc w:val="both"/>
        <w:rPr>
          <w:rFonts w:ascii="Times New Roman" w:hAnsi="Times New Roman" w:cs="Times New Roman"/>
          <w:sz w:val="24"/>
          <w:szCs w:val="24"/>
        </w:rPr>
      </w:pPr>
      <w:r w:rsidRPr="00B31F37">
        <w:rPr>
          <w:rFonts w:ascii="Times New Roman" w:hAnsi="Times New Roman" w:cs="Times New Roman"/>
          <w:sz w:val="24"/>
          <w:szCs w:val="24"/>
        </w:rPr>
        <w:t xml:space="preserve">Ovlivnění činnosti půdního </w:t>
      </w:r>
      <w:proofErr w:type="spellStart"/>
      <w:r w:rsidRPr="00B31F37">
        <w:rPr>
          <w:rFonts w:ascii="Times New Roman" w:hAnsi="Times New Roman" w:cs="Times New Roman"/>
          <w:sz w:val="24"/>
          <w:szCs w:val="24"/>
        </w:rPr>
        <w:t>edafonu</w:t>
      </w:r>
      <w:proofErr w:type="spellEnd"/>
      <w:r w:rsidRPr="00B31F37">
        <w:rPr>
          <w:rFonts w:ascii="Times New Roman" w:hAnsi="Times New Roman" w:cs="Times New Roman"/>
          <w:sz w:val="24"/>
          <w:szCs w:val="24"/>
        </w:rPr>
        <w:t xml:space="preserve"> toxickým působením kontaminantů, které následně může narušit např. procesy humifikace organické hmoty, pozitivní působení půdních mikroorganizmů na rostliny, tvorbu půdních agregátů činností půdního </w:t>
      </w:r>
      <w:proofErr w:type="spellStart"/>
      <w:r w:rsidRPr="00B31F37">
        <w:rPr>
          <w:rFonts w:ascii="Times New Roman" w:hAnsi="Times New Roman" w:cs="Times New Roman"/>
          <w:sz w:val="24"/>
          <w:szCs w:val="24"/>
        </w:rPr>
        <w:t>mezoedafonu</w:t>
      </w:r>
      <w:proofErr w:type="spellEnd"/>
      <w:r w:rsidRPr="00B31F37">
        <w:rPr>
          <w:rFonts w:ascii="Times New Roman" w:hAnsi="Times New Roman" w:cs="Times New Roman"/>
          <w:sz w:val="24"/>
          <w:szCs w:val="24"/>
        </w:rPr>
        <w:t xml:space="preserve"> apod.</w:t>
      </w:r>
    </w:p>
    <w:p w:rsidR="00B31F37" w:rsidRPr="00B31F37" w:rsidRDefault="00B31F37" w:rsidP="00A948CA">
      <w:pPr>
        <w:numPr>
          <w:ilvl w:val="0"/>
          <w:numId w:val="1"/>
        </w:numPr>
        <w:spacing w:after="120" w:line="240" w:lineRule="auto"/>
        <w:ind w:left="714" w:hanging="357"/>
        <w:jc w:val="both"/>
        <w:rPr>
          <w:rFonts w:ascii="Times New Roman" w:hAnsi="Times New Roman" w:cs="Times New Roman"/>
          <w:sz w:val="24"/>
          <w:szCs w:val="24"/>
        </w:rPr>
      </w:pPr>
      <w:r w:rsidRPr="00B31F37">
        <w:rPr>
          <w:rFonts w:ascii="Times New Roman" w:hAnsi="Times New Roman" w:cs="Times New Roman"/>
          <w:sz w:val="24"/>
          <w:szCs w:val="24"/>
        </w:rPr>
        <w:t xml:space="preserve"> Ovlivnění kvality povrchové a </w:t>
      </w:r>
      <w:r w:rsidR="00DA08C6">
        <w:rPr>
          <w:rFonts w:ascii="Times New Roman" w:hAnsi="Times New Roman" w:cs="Times New Roman"/>
          <w:sz w:val="24"/>
          <w:szCs w:val="24"/>
        </w:rPr>
        <w:t>podzemní</w:t>
      </w:r>
      <w:r w:rsidRPr="00B31F37">
        <w:rPr>
          <w:rFonts w:ascii="Times New Roman" w:hAnsi="Times New Roman" w:cs="Times New Roman"/>
          <w:sz w:val="24"/>
          <w:szCs w:val="24"/>
        </w:rPr>
        <w:t xml:space="preserve"> vody nadměrnou kontaminací, způsobenou průnikem kontaminantů do </w:t>
      </w:r>
      <w:r w:rsidR="00DA08C6">
        <w:rPr>
          <w:rFonts w:ascii="Times New Roman" w:hAnsi="Times New Roman" w:cs="Times New Roman"/>
          <w:sz w:val="24"/>
          <w:szCs w:val="24"/>
        </w:rPr>
        <w:t>podzemní</w:t>
      </w:r>
      <w:r w:rsidRPr="00B31F37">
        <w:rPr>
          <w:rFonts w:ascii="Times New Roman" w:hAnsi="Times New Roman" w:cs="Times New Roman"/>
          <w:sz w:val="24"/>
          <w:szCs w:val="24"/>
        </w:rPr>
        <w:t xml:space="preserve"> vody a odnosem kontaminovaných půdních částic do povrchové vody, které druhotně může vést i ke kontaminaci rybničních a říčních dnových sedimentů.  </w:t>
      </w:r>
    </w:p>
    <w:p w:rsidR="006D1832" w:rsidRPr="00AE7EAA" w:rsidRDefault="00B31F37" w:rsidP="00A948CA">
      <w:pPr>
        <w:numPr>
          <w:ilvl w:val="0"/>
          <w:numId w:val="1"/>
        </w:numPr>
        <w:spacing w:after="240" w:line="240" w:lineRule="auto"/>
        <w:ind w:left="714" w:hanging="357"/>
        <w:jc w:val="both"/>
        <w:rPr>
          <w:rFonts w:ascii="Times New Roman" w:hAnsi="Times New Roman" w:cs="Times New Roman"/>
          <w:sz w:val="24"/>
          <w:szCs w:val="24"/>
        </w:rPr>
      </w:pPr>
      <w:r w:rsidRPr="00B31F37">
        <w:rPr>
          <w:rFonts w:ascii="Times New Roman" w:hAnsi="Times New Roman" w:cs="Times New Roman"/>
          <w:sz w:val="24"/>
          <w:szCs w:val="24"/>
        </w:rPr>
        <w:t>Přímé ohrožení zdraví, a to především osob, pohybující se na zatíženém pozemku při zpracování půdy, kdy jsou tyto osoby vystavené zvýšené prašnosti půdy a kdy dochází ke vstupu kontaminantů do organizmu cestou inhalační, dermální a orální. Toto riziko je aktuální především u As (karcinogen první kategorie) a perzistentních organických polutantů, s prokázanými toxickými vlastnostmi.</w:t>
      </w:r>
    </w:p>
    <w:p w:rsidR="006D1832" w:rsidRPr="003B581C" w:rsidRDefault="00B105CA" w:rsidP="00A948CA">
      <w:pPr>
        <w:pStyle w:val="Odstavecseseznamem"/>
        <w:numPr>
          <w:ilvl w:val="0"/>
          <w:numId w:val="2"/>
        </w:numPr>
        <w:spacing w:line="240" w:lineRule="auto"/>
        <w:rPr>
          <w:rFonts w:ascii="Times New Roman" w:hAnsi="Times New Roman" w:cs="Times New Roman"/>
          <w:i/>
          <w:sz w:val="24"/>
          <w:szCs w:val="24"/>
        </w:rPr>
      </w:pPr>
      <w:r w:rsidRPr="003B581C">
        <w:rPr>
          <w:rFonts w:ascii="Times New Roman" w:hAnsi="Times New Roman" w:cs="Times New Roman"/>
          <w:i/>
          <w:sz w:val="24"/>
          <w:szCs w:val="24"/>
        </w:rPr>
        <w:t>Přístup k řešení kontaminace půdy v obecném měřítku</w:t>
      </w:r>
    </w:p>
    <w:p w:rsidR="00A238E7" w:rsidRDefault="00A238E7" w:rsidP="00A948CA">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Kontaminace půdy je problém, který souvisí především s lidskou činností. Přesto, že ke kontaminaci půdy dochází dlouhodobě, její řešení je intenzivnější v posledních cca </w:t>
      </w:r>
      <w:proofErr w:type="gramStart"/>
      <w:r>
        <w:rPr>
          <w:rFonts w:ascii="Times New Roman" w:hAnsi="Times New Roman" w:cs="Times New Roman"/>
          <w:sz w:val="24"/>
          <w:szCs w:val="24"/>
        </w:rPr>
        <w:t>40-ti</w:t>
      </w:r>
      <w:proofErr w:type="gramEnd"/>
      <w:r>
        <w:rPr>
          <w:rFonts w:ascii="Times New Roman" w:hAnsi="Times New Roman" w:cs="Times New Roman"/>
          <w:sz w:val="24"/>
          <w:szCs w:val="24"/>
        </w:rPr>
        <w:t xml:space="preserve"> letech. To souvisí s rozvojem poznání, analytických metod a přesností laboratorních přístrojů. Evropský kontinent patří k těm částem světa, které se kontaminací půd zabývají jako jedny z prvních. Příčinou je vyspělá úroveň ekonomiky a zemědělská a průmyslová tradice evropských zemí. </w:t>
      </w:r>
      <w:r w:rsidRPr="00A238E7">
        <w:rPr>
          <w:rFonts w:ascii="Times New Roman" w:hAnsi="Times New Roman" w:cs="Times New Roman"/>
          <w:sz w:val="24"/>
          <w:szCs w:val="24"/>
        </w:rPr>
        <w:t xml:space="preserve">Průmyslová revoluce, která probíhala v průběhu 18. a 19. století a která postupně nastolila převažující podíl průmyslové výroby nad zemědělstvím v rámci hospodářského výsledku, měla nesporný vliv i na životní prostředí. Nárůst energetiky, využívání uhlí, aj., vedly k zásadnímu nárůstu emisí a zátěži životního prostředí kontaminanty </w:t>
      </w:r>
      <w:r w:rsidRPr="00A238E7">
        <w:rPr>
          <w:rFonts w:ascii="Times New Roman" w:hAnsi="Times New Roman" w:cs="Times New Roman"/>
          <w:sz w:val="24"/>
          <w:szCs w:val="24"/>
        </w:rPr>
        <w:lastRenderedPageBreak/>
        <w:t>v celé řadě evropských zemí (</w:t>
      </w:r>
      <w:proofErr w:type="spellStart"/>
      <w:r w:rsidRPr="00A238E7">
        <w:rPr>
          <w:rFonts w:ascii="Times New Roman" w:hAnsi="Times New Roman" w:cs="Times New Roman"/>
          <w:sz w:val="24"/>
          <w:szCs w:val="24"/>
        </w:rPr>
        <w:t>Guedron</w:t>
      </w:r>
      <w:proofErr w:type="spellEnd"/>
      <w:r w:rsidRPr="00A238E7">
        <w:rPr>
          <w:rFonts w:ascii="Times New Roman" w:hAnsi="Times New Roman" w:cs="Times New Roman"/>
          <w:sz w:val="24"/>
          <w:szCs w:val="24"/>
        </w:rPr>
        <w:t xml:space="preserve"> et al.</w:t>
      </w:r>
      <w:r w:rsidR="001F59C3">
        <w:rPr>
          <w:rFonts w:ascii="Times New Roman" w:hAnsi="Times New Roman" w:cs="Times New Roman"/>
          <w:sz w:val="24"/>
          <w:szCs w:val="24"/>
        </w:rPr>
        <w:t>,</w:t>
      </w:r>
      <w:r w:rsidRPr="00A238E7">
        <w:rPr>
          <w:rFonts w:ascii="Times New Roman" w:hAnsi="Times New Roman" w:cs="Times New Roman"/>
          <w:sz w:val="24"/>
          <w:szCs w:val="24"/>
        </w:rPr>
        <w:t xml:space="preserve"> 2016). Ke studiu historie zátěže evropského prostoru kontaminanty jsou využívány sedimenty, které archivují datovatelnou zátěž nejenom rizikovými prvky, ale např. i PAU, které jsou typickými produkty spalovacích procesů. Práce autorů </w:t>
      </w:r>
      <w:proofErr w:type="spellStart"/>
      <w:r w:rsidRPr="00A238E7">
        <w:rPr>
          <w:rFonts w:ascii="Times New Roman" w:hAnsi="Times New Roman" w:cs="Times New Roman"/>
          <w:sz w:val="24"/>
          <w:szCs w:val="24"/>
        </w:rPr>
        <w:t>Azoury</w:t>
      </w:r>
      <w:proofErr w:type="spellEnd"/>
      <w:r w:rsidRPr="00A238E7">
        <w:rPr>
          <w:rFonts w:ascii="Times New Roman" w:hAnsi="Times New Roman" w:cs="Times New Roman"/>
          <w:sz w:val="24"/>
          <w:szCs w:val="24"/>
        </w:rPr>
        <w:t xml:space="preserve"> et al.</w:t>
      </w:r>
      <w:r w:rsidR="001F59C3">
        <w:rPr>
          <w:rFonts w:ascii="Times New Roman" w:hAnsi="Times New Roman" w:cs="Times New Roman"/>
          <w:sz w:val="24"/>
          <w:szCs w:val="24"/>
        </w:rPr>
        <w:t>,</w:t>
      </w:r>
      <w:r w:rsidRPr="00A238E7">
        <w:rPr>
          <w:rFonts w:ascii="Times New Roman" w:hAnsi="Times New Roman" w:cs="Times New Roman"/>
          <w:sz w:val="24"/>
          <w:szCs w:val="24"/>
        </w:rPr>
        <w:t xml:space="preserve"> (2013) dokládá závislost nárůstu obsahů </w:t>
      </w:r>
      <w:proofErr w:type="spellStart"/>
      <w:r w:rsidRPr="00A238E7">
        <w:rPr>
          <w:rFonts w:ascii="Times New Roman" w:hAnsi="Times New Roman" w:cs="Times New Roman"/>
          <w:sz w:val="24"/>
          <w:szCs w:val="24"/>
        </w:rPr>
        <w:t>Pb</w:t>
      </w:r>
      <w:proofErr w:type="spellEnd"/>
      <w:r w:rsidRPr="00A238E7">
        <w:rPr>
          <w:rFonts w:ascii="Times New Roman" w:hAnsi="Times New Roman" w:cs="Times New Roman"/>
          <w:sz w:val="24"/>
          <w:szCs w:val="24"/>
        </w:rPr>
        <w:t xml:space="preserve">, </w:t>
      </w:r>
      <w:proofErr w:type="spellStart"/>
      <w:r w:rsidRPr="00A238E7">
        <w:rPr>
          <w:rFonts w:ascii="Times New Roman" w:hAnsi="Times New Roman" w:cs="Times New Roman"/>
          <w:sz w:val="24"/>
          <w:szCs w:val="24"/>
        </w:rPr>
        <w:t>Hg</w:t>
      </w:r>
      <w:proofErr w:type="spellEnd"/>
      <w:r w:rsidRPr="00A238E7">
        <w:rPr>
          <w:rFonts w:ascii="Times New Roman" w:hAnsi="Times New Roman" w:cs="Times New Roman"/>
          <w:sz w:val="24"/>
          <w:szCs w:val="24"/>
        </w:rPr>
        <w:t xml:space="preserve"> a PAU, tedy kontaminantů typických pro spalovací produkty z uhlí, na využívání uhlí s nástupem průmyslové revoluce, a to téměř skokově okolo roku 1850. Zároveň byl potvrzen i pokles obsahů uvedených polutantů v sedimentech, datovaných k letům 1950- 1960, které jsou typické poklesem využívání uhlí v průmyslu. Není tedy pochyb o tom, že evropský kontinent je dlouhodobě pod vysokou environmentální zátěží. Současné technologie a úspěšná snaha o výrazné omezení vstupů polutantů do prostředí se na stavu zátěže jednotlivých složek prostředí, včetně půdy, pozitivně odráží, historická zátěž perzistentními polutanty, zejména toxickými prvky, je stále na mnoha místech kontinentu problematická a přispívají k ní i současné problémy, jakými jsou rostoucí nároky na dopravu, energie, atd. Jako specifický problém řady evropských zemí z nedávné minulosti lze uvést intenzivní využívání kalů z čistíren odpadních vod (</w:t>
      </w:r>
      <w:proofErr w:type="spellStart"/>
      <w:r w:rsidRPr="00A238E7">
        <w:rPr>
          <w:rFonts w:ascii="Times New Roman" w:hAnsi="Times New Roman" w:cs="Times New Roman"/>
          <w:sz w:val="24"/>
          <w:szCs w:val="24"/>
        </w:rPr>
        <w:t>Markard</w:t>
      </w:r>
      <w:proofErr w:type="spellEnd"/>
      <w:r w:rsidRPr="00A238E7">
        <w:rPr>
          <w:rFonts w:ascii="Times New Roman" w:hAnsi="Times New Roman" w:cs="Times New Roman"/>
          <w:sz w:val="24"/>
          <w:szCs w:val="24"/>
        </w:rPr>
        <w:t xml:space="preserve">, 1988; </w:t>
      </w:r>
      <w:proofErr w:type="spellStart"/>
      <w:r w:rsidRPr="00A238E7">
        <w:rPr>
          <w:rFonts w:ascii="Times New Roman" w:hAnsi="Times New Roman" w:cs="Times New Roman"/>
          <w:sz w:val="24"/>
          <w:szCs w:val="24"/>
        </w:rPr>
        <w:t>Melcer</w:t>
      </w:r>
      <w:proofErr w:type="spellEnd"/>
      <w:r w:rsidRPr="00A238E7">
        <w:rPr>
          <w:rFonts w:ascii="Times New Roman" w:hAnsi="Times New Roman" w:cs="Times New Roman"/>
          <w:sz w:val="24"/>
          <w:szCs w:val="24"/>
        </w:rPr>
        <w:t xml:space="preserve"> et al., 1988). Data o kontaminaci půd v rámci Evropy jsou dostupná z Evropského půdního portálu – půdní data a informační systém, který spravuje </w:t>
      </w:r>
      <w:proofErr w:type="spellStart"/>
      <w:r w:rsidRPr="00A238E7">
        <w:rPr>
          <w:rFonts w:ascii="Times New Roman" w:hAnsi="Times New Roman" w:cs="Times New Roman"/>
          <w:sz w:val="24"/>
          <w:szCs w:val="24"/>
        </w:rPr>
        <w:t>Join</w:t>
      </w:r>
      <w:proofErr w:type="spellEnd"/>
      <w:r w:rsidRPr="00A238E7">
        <w:rPr>
          <w:rFonts w:ascii="Times New Roman" w:hAnsi="Times New Roman" w:cs="Times New Roman"/>
          <w:sz w:val="24"/>
          <w:szCs w:val="24"/>
        </w:rPr>
        <w:t xml:space="preserve"> </w:t>
      </w:r>
      <w:proofErr w:type="spellStart"/>
      <w:r w:rsidRPr="00A238E7">
        <w:rPr>
          <w:rFonts w:ascii="Times New Roman" w:hAnsi="Times New Roman" w:cs="Times New Roman"/>
          <w:sz w:val="24"/>
          <w:szCs w:val="24"/>
        </w:rPr>
        <w:t>Research</w:t>
      </w:r>
      <w:proofErr w:type="spellEnd"/>
      <w:r w:rsidRPr="00A238E7">
        <w:rPr>
          <w:rFonts w:ascii="Times New Roman" w:hAnsi="Times New Roman" w:cs="Times New Roman"/>
          <w:sz w:val="24"/>
          <w:szCs w:val="24"/>
        </w:rPr>
        <w:t xml:space="preserve"> Centrum (JRC) v italské </w:t>
      </w:r>
      <w:proofErr w:type="spellStart"/>
      <w:r w:rsidRPr="00A238E7">
        <w:rPr>
          <w:rFonts w:ascii="Times New Roman" w:hAnsi="Times New Roman" w:cs="Times New Roman"/>
          <w:sz w:val="24"/>
          <w:szCs w:val="24"/>
        </w:rPr>
        <w:t>Ispře</w:t>
      </w:r>
      <w:proofErr w:type="spellEnd"/>
      <w:r w:rsidRPr="00A238E7">
        <w:rPr>
          <w:rFonts w:ascii="Times New Roman" w:hAnsi="Times New Roman" w:cs="Times New Roman"/>
          <w:sz w:val="24"/>
          <w:szCs w:val="24"/>
        </w:rPr>
        <w:t>.</w:t>
      </w:r>
      <w:r>
        <w:rPr>
          <w:rFonts w:ascii="Times New Roman" w:hAnsi="Times New Roman" w:cs="Times New Roman"/>
          <w:sz w:val="24"/>
          <w:szCs w:val="24"/>
        </w:rPr>
        <w:t xml:space="preserve">  </w:t>
      </w:r>
    </w:p>
    <w:p w:rsidR="00891AD9" w:rsidRDefault="00891AD9" w:rsidP="00A948CA">
      <w:pPr>
        <w:pStyle w:val="Nzev"/>
        <w:spacing w:after="120"/>
        <w:jc w:val="left"/>
        <w:rPr>
          <w:b w:val="0"/>
        </w:rPr>
      </w:pPr>
      <w:r w:rsidRPr="00891AD9">
        <w:rPr>
          <w:b w:val="0"/>
        </w:rPr>
        <w:t>V celosvětovém měřítku je přístup k problémům spojených s kontaminací půdy poměrně složitý.</w:t>
      </w:r>
      <w:r>
        <w:t xml:space="preserve"> </w:t>
      </w:r>
      <w:r w:rsidRPr="00891AD9">
        <w:rPr>
          <w:b w:val="0"/>
        </w:rPr>
        <w:t xml:space="preserve">Zásadním problémem je nesrovnatelnost údajů o zátěži půd, kterými disponují především rozvinuté země. Realizace monitoringu kontaminace půd je poměrně nákladná záležitost, z tohoto důvodu nejsou systematická data v řadě zemí dostupná. O zmapování globálního stavu se v současné době snaží aktivita </w:t>
      </w:r>
      <w:proofErr w:type="spellStart"/>
      <w:r w:rsidRPr="00891AD9">
        <w:rPr>
          <w:b w:val="0"/>
        </w:rPr>
        <w:t>Global</w:t>
      </w:r>
      <w:proofErr w:type="spellEnd"/>
      <w:r w:rsidRPr="00891AD9">
        <w:rPr>
          <w:b w:val="0"/>
        </w:rPr>
        <w:t xml:space="preserve"> </w:t>
      </w:r>
      <w:proofErr w:type="spellStart"/>
      <w:r w:rsidRPr="00891AD9">
        <w:rPr>
          <w:b w:val="0"/>
        </w:rPr>
        <w:t>Soil</w:t>
      </w:r>
      <w:proofErr w:type="spellEnd"/>
      <w:r w:rsidRPr="00891AD9">
        <w:rPr>
          <w:b w:val="0"/>
        </w:rPr>
        <w:t xml:space="preserve"> </w:t>
      </w:r>
      <w:proofErr w:type="spellStart"/>
      <w:r w:rsidRPr="00891AD9">
        <w:rPr>
          <w:b w:val="0"/>
        </w:rPr>
        <w:t>Partnership</w:t>
      </w:r>
      <w:proofErr w:type="spellEnd"/>
      <w:r w:rsidRPr="00891AD9">
        <w:rPr>
          <w:b w:val="0"/>
        </w:rPr>
        <w:t>. Existence „hluchých“ míst vede často k mnoha desinterpretacím, při snahách o globální vyhodnocení zátěže půd, kdy právě vyspělé země s dostatkem dat, vycházejí z tohoto hodnocení jako ty nejvíce znečištěné. Není přitom pochyb o tom, že rychlý rozvoj průmyslu v řadě rozvojových zemí, s nízkými nároky na ochranu životního prostředí</w:t>
      </w:r>
      <w:r w:rsidR="001F59C3">
        <w:rPr>
          <w:b w:val="0"/>
        </w:rPr>
        <w:t>,</w:t>
      </w:r>
      <w:r w:rsidRPr="00891AD9">
        <w:rPr>
          <w:b w:val="0"/>
        </w:rPr>
        <w:t xml:space="preserve"> musí mít na oblast kontaminace půdy zásadní dopady. Nastavené standardy ochrany prostředí, ale i lidského zdraví</w:t>
      </w:r>
      <w:r w:rsidR="001F59C3">
        <w:rPr>
          <w:b w:val="0"/>
        </w:rPr>
        <w:t>,</w:t>
      </w:r>
      <w:r w:rsidRPr="00891AD9">
        <w:rPr>
          <w:b w:val="0"/>
        </w:rPr>
        <w:t xml:space="preserve"> jsou v mnoha rozvojových zemích velmi nízké. Rychlý rozvoj průmyslu, spojený s růstem hospodářství přináší zmíněná ekologická rizika, jejichž řešení je s výhledem do budoucna i v těchto zemích nutností. Znamená to samozřejmě vysoké investice do monitoringu i výzkumu, protože srovnávací kritéria nejsou většinou pro danou oblast dostupná a bývají pak přebírána kritéria z oblastí pedologicky a klimaticky výrazně odlišných (Nizozemí, USA, Kanada, atd.). Poměrně značná pozornost je kontaminaci půd věnována v mnoha jihoamerických zemích, stejně jako v mnoha státech Asie. Uvedena může být Čína, která si uvědomuje značné problémy spojené s kontaminací půdy a vody, v důsledku rychlého průmyslového rozvoje. V roce 2014 tam byl zrealizován „Národní průzkum kontaminace půd“, pod záštitou vládních ministerstev, jehož výsledky potvrdily významnou zátěž půd mnoha oblastí Číny polutanty. Následně byl v roce 2016 vypracován „Akční plán prevence a kontroly kontaminace půd“, jehož účelem je ochrana nekontaminovaných půd a implementace managementu rizik a </w:t>
      </w:r>
      <w:proofErr w:type="spellStart"/>
      <w:r w:rsidRPr="00891AD9">
        <w:rPr>
          <w:b w:val="0"/>
        </w:rPr>
        <w:t>remediačních</w:t>
      </w:r>
      <w:proofErr w:type="spellEnd"/>
      <w:r w:rsidRPr="00891AD9">
        <w:rPr>
          <w:b w:val="0"/>
        </w:rPr>
        <w:t xml:space="preserve"> opatření kontaminovaných půd. Míra naplnění uvedeného plánu bude pochopitelně závislá na celé řadě faktorů, je však zřejmé, že problémy kontaminace půd začínají být stěžejní i v oblastech, kde jim doposud nebyla věnována příliš velká pozornost, neboť stav životního prostředí se netýká pouze lokálních podmínek, ale odráží se také v oblasti obchodu a hospodářství, zejména při vývozu zemědělské produkce. Nicméně, v mnoha zemích je řešení problematiky kontaminace půd z ekonomických důvodů prozatím nereálné. Je třeba si uvědomit, že náklady na případná </w:t>
      </w:r>
      <w:r w:rsidR="001F59C3">
        <w:rPr>
          <w:b w:val="0"/>
        </w:rPr>
        <w:t>nápravná (</w:t>
      </w:r>
      <w:proofErr w:type="spellStart"/>
      <w:r w:rsidRPr="00891AD9">
        <w:rPr>
          <w:b w:val="0"/>
        </w:rPr>
        <w:t>remediační</w:t>
      </w:r>
      <w:proofErr w:type="spellEnd"/>
      <w:r w:rsidR="001F59C3">
        <w:rPr>
          <w:b w:val="0"/>
        </w:rPr>
        <w:t>)</w:t>
      </w:r>
      <w:r w:rsidRPr="00891AD9">
        <w:rPr>
          <w:b w:val="0"/>
        </w:rPr>
        <w:t xml:space="preserve"> opatření dosahují tak vysokých nákladů, že závazný příslib řešení situace odradil i řadu vyspělých zemí Evropy k implementaci Tematické strategie ochrany půdy. Náklady na řešení problémů spojených s kontaminací půd vylučují v mnoha případech i relativně dostupná řešení. </w:t>
      </w:r>
      <w:r>
        <w:rPr>
          <w:b w:val="0"/>
        </w:rPr>
        <w:t>Příkladně v Indii je 60% rolníků závislých na závlahách. Tato situace je zde úzce spojena i s problémem kontaminace, z důvodů vysoké závislosti hospodařících rolníků na odpadní vodě z komunálu i průmyslu. Tato situace je monitorována, byl prokázán výrazný přestup kontaminace do potravních řetězců, řešení je však prozatím nereálné (</w:t>
      </w:r>
      <w:proofErr w:type="spellStart"/>
      <w:r>
        <w:rPr>
          <w:b w:val="0"/>
        </w:rPr>
        <w:t>Yadav</w:t>
      </w:r>
      <w:proofErr w:type="spellEnd"/>
      <w:r>
        <w:rPr>
          <w:b w:val="0"/>
        </w:rPr>
        <w:t xml:space="preserve"> et al. 2015).        </w:t>
      </w:r>
    </w:p>
    <w:p w:rsidR="003C54BC" w:rsidRDefault="003C54BC" w:rsidP="00A948CA">
      <w:pPr>
        <w:pStyle w:val="Nzev"/>
        <w:numPr>
          <w:ilvl w:val="0"/>
          <w:numId w:val="2"/>
        </w:numPr>
        <w:spacing w:after="120"/>
        <w:jc w:val="left"/>
        <w:rPr>
          <w:b w:val="0"/>
          <w:i/>
        </w:rPr>
      </w:pPr>
      <w:r w:rsidRPr="003C54BC">
        <w:rPr>
          <w:b w:val="0"/>
          <w:i/>
        </w:rPr>
        <w:t>Typy kontaminantů</w:t>
      </w:r>
    </w:p>
    <w:p w:rsidR="003B581C" w:rsidRDefault="003B581C" w:rsidP="00A948CA">
      <w:pPr>
        <w:pStyle w:val="Nzev"/>
        <w:spacing w:after="120"/>
        <w:jc w:val="left"/>
        <w:rPr>
          <w:b w:val="0"/>
        </w:rPr>
      </w:pPr>
      <w:r>
        <w:rPr>
          <w:b w:val="0"/>
        </w:rPr>
        <w:t>Půda může být kontaminována širokým spektrem nežádoucích látek s potenciálním toxickým účinkem. Pokud vynecháme specifické případy úniků nebezpečných chemických sloučenin do prostředí, jakými jsou silné kyseliny, zásady, kyanidy, radioizotopy, atd., rozlišují se kontaminanty na skupinu anorganických, kam se řadí potenciálně rizikové (toxické) prvky a organických, zahrnující skupiny tzv. perzistentních organických polutantů.</w:t>
      </w:r>
    </w:p>
    <w:p w:rsidR="003B581C" w:rsidRPr="00007537" w:rsidRDefault="003B581C" w:rsidP="00A948CA">
      <w:pPr>
        <w:pStyle w:val="Nzev"/>
        <w:numPr>
          <w:ilvl w:val="1"/>
          <w:numId w:val="2"/>
        </w:numPr>
        <w:spacing w:after="120"/>
        <w:jc w:val="left"/>
        <w:rPr>
          <w:b w:val="0"/>
          <w:i/>
        </w:rPr>
      </w:pPr>
      <w:r w:rsidRPr="00007537">
        <w:rPr>
          <w:b w:val="0"/>
          <w:i/>
        </w:rPr>
        <w:t>Rizikové prvky</w:t>
      </w:r>
    </w:p>
    <w:p w:rsidR="003B581C" w:rsidRPr="003B581C" w:rsidRDefault="003B581C" w:rsidP="00A948CA">
      <w:pPr>
        <w:pStyle w:val="Zkladntextodsazen"/>
        <w:tabs>
          <w:tab w:val="num" w:pos="0"/>
        </w:tabs>
        <w:spacing w:line="240" w:lineRule="auto"/>
        <w:ind w:left="0"/>
        <w:jc w:val="both"/>
        <w:rPr>
          <w:bCs/>
          <w:szCs w:val="24"/>
        </w:rPr>
      </w:pPr>
      <w:r>
        <w:rPr>
          <w:bCs/>
          <w:szCs w:val="24"/>
        </w:rPr>
        <w:t>Rizikové</w:t>
      </w:r>
      <w:r w:rsidRPr="003B581C">
        <w:rPr>
          <w:bCs/>
          <w:szCs w:val="24"/>
        </w:rPr>
        <w:t xml:space="preserve"> prvky nebo také potenciálně </w:t>
      </w:r>
      <w:r>
        <w:rPr>
          <w:bCs/>
          <w:szCs w:val="24"/>
        </w:rPr>
        <w:t>toxické</w:t>
      </w:r>
      <w:r w:rsidRPr="003B581C">
        <w:rPr>
          <w:bCs/>
          <w:szCs w:val="24"/>
        </w:rPr>
        <w:t xml:space="preserve"> prvky, zahrnují kovy a metaloidy. Skupina rizikových prvků zahrnuje poměrně vysoký počet prvků, které působí ve vyšších koncentracích (vyšších než esenciálních, po</w:t>
      </w:r>
      <w:r>
        <w:rPr>
          <w:bCs/>
          <w:szCs w:val="24"/>
        </w:rPr>
        <w:t>p</w:t>
      </w:r>
      <w:r w:rsidRPr="003B581C">
        <w:rPr>
          <w:bCs/>
          <w:szCs w:val="24"/>
        </w:rPr>
        <w:t xml:space="preserve">ř. </w:t>
      </w:r>
      <w:proofErr w:type="spellStart"/>
      <w:r w:rsidRPr="003B581C">
        <w:rPr>
          <w:bCs/>
          <w:szCs w:val="24"/>
        </w:rPr>
        <w:t>pozaďových</w:t>
      </w:r>
      <w:proofErr w:type="spellEnd"/>
      <w:r w:rsidRPr="003B581C">
        <w:rPr>
          <w:bCs/>
          <w:szCs w:val="24"/>
        </w:rPr>
        <w:t xml:space="preserve">), </w:t>
      </w:r>
      <w:proofErr w:type="spellStart"/>
      <w:r w:rsidRPr="003B581C">
        <w:rPr>
          <w:bCs/>
          <w:szCs w:val="24"/>
        </w:rPr>
        <w:t>fyto</w:t>
      </w:r>
      <w:proofErr w:type="spellEnd"/>
      <w:r w:rsidRPr="003B581C">
        <w:rPr>
          <w:bCs/>
          <w:szCs w:val="24"/>
        </w:rPr>
        <w:t xml:space="preserve"> nebo zoo</w:t>
      </w:r>
      <w:r>
        <w:rPr>
          <w:bCs/>
          <w:szCs w:val="24"/>
        </w:rPr>
        <w:t>-</w:t>
      </w:r>
      <w:r w:rsidRPr="003B581C">
        <w:rPr>
          <w:bCs/>
          <w:szCs w:val="24"/>
        </w:rPr>
        <w:t>toxicky. Toxicita rizikových prvků je úměrná aktivitě volných iontů v prostředí (</w:t>
      </w:r>
      <w:proofErr w:type="spellStart"/>
      <w:r w:rsidRPr="003B581C">
        <w:rPr>
          <w:bCs/>
          <w:szCs w:val="24"/>
        </w:rPr>
        <w:t>Hall</w:t>
      </w:r>
      <w:proofErr w:type="spellEnd"/>
      <w:r w:rsidRPr="003B581C">
        <w:rPr>
          <w:bCs/>
          <w:szCs w:val="24"/>
        </w:rPr>
        <w:t xml:space="preserve"> et al.</w:t>
      </w:r>
      <w:r w:rsidR="001F59C3">
        <w:rPr>
          <w:bCs/>
          <w:szCs w:val="24"/>
        </w:rPr>
        <w:t>,</w:t>
      </w:r>
      <w:r w:rsidRPr="003B581C">
        <w:rPr>
          <w:bCs/>
          <w:szCs w:val="24"/>
        </w:rPr>
        <w:t xml:space="preserve"> 1999). Mnohé </w:t>
      </w:r>
      <w:r>
        <w:rPr>
          <w:bCs/>
          <w:szCs w:val="24"/>
        </w:rPr>
        <w:t>toxické</w:t>
      </w:r>
      <w:r w:rsidRPr="003B581C">
        <w:rPr>
          <w:bCs/>
          <w:szCs w:val="24"/>
        </w:rPr>
        <w:t xml:space="preserve"> prvky jsou zároveň i prvky stopovými, tzn., že jejich koncentrace v daném prostředí nepřesahuje hodnotu 100 mg . kg</w:t>
      </w:r>
      <w:r w:rsidRPr="003B581C">
        <w:rPr>
          <w:bCs/>
          <w:szCs w:val="24"/>
          <w:vertAlign w:val="superscript"/>
        </w:rPr>
        <w:t>-1</w:t>
      </w:r>
      <w:r w:rsidRPr="003B581C">
        <w:rPr>
          <w:bCs/>
          <w:szCs w:val="24"/>
        </w:rPr>
        <w:t xml:space="preserve"> (</w:t>
      </w:r>
      <w:proofErr w:type="spellStart"/>
      <w:r w:rsidRPr="003B581C">
        <w:rPr>
          <w:bCs/>
          <w:szCs w:val="24"/>
        </w:rPr>
        <w:t>Jurinaka</w:t>
      </w:r>
      <w:proofErr w:type="spellEnd"/>
      <w:r w:rsidR="001F59C3">
        <w:rPr>
          <w:bCs/>
          <w:szCs w:val="24"/>
        </w:rPr>
        <w:t xml:space="preserve"> et</w:t>
      </w:r>
      <w:r w:rsidRPr="003B581C">
        <w:rPr>
          <w:bCs/>
          <w:szCs w:val="24"/>
        </w:rPr>
        <w:t xml:space="preserve"> Tanji, 1993) a značný počet prvků je také esenciální pro rostliny nebo živočichy. Z velké části zahrnují rizikové prvky skupinu tzv. těžkých kovů. </w:t>
      </w:r>
    </w:p>
    <w:p w:rsidR="003B581C" w:rsidRDefault="002D77DF" w:rsidP="00A948CA">
      <w:pPr>
        <w:pStyle w:val="Zkladntextodsazen"/>
        <w:tabs>
          <w:tab w:val="num" w:pos="0"/>
        </w:tabs>
        <w:spacing w:line="240" w:lineRule="auto"/>
        <w:ind w:left="0"/>
        <w:jc w:val="both"/>
        <w:rPr>
          <w:bCs/>
          <w:szCs w:val="24"/>
        </w:rPr>
      </w:pPr>
      <w:r>
        <w:rPr>
          <w:bCs/>
          <w:szCs w:val="24"/>
        </w:rPr>
        <w:t xml:space="preserve">Již v roce 1987 popisují </w:t>
      </w:r>
      <w:r w:rsidR="003B581C" w:rsidRPr="003B581C">
        <w:rPr>
          <w:bCs/>
          <w:szCs w:val="24"/>
        </w:rPr>
        <w:t xml:space="preserve">Beneš a </w:t>
      </w:r>
      <w:proofErr w:type="spellStart"/>
      <w:r w:rsidR="003B581C" w:rsidRPr="003B581C">
        <w:rPr>
          <w:bCs/>
          <w:szCs w:val="24"/>
        </w:rPr>
        <w:t>Pabiánová</w:t>
      </w:r>
      <w:proofErr w:type="spellEnd"/>
      <w:r w:rsidR="001F59C3">
        <w:rPr>
          <w:bCs/>
          <w:szCs w:val="24"/>
        </w:rPr>
        <w:t>,</w:t>
      </w:r>
      <w:r w:rsidR="003B581C" w:rsidRPr="003B581C">
        <w:rPr>
          <w:bCs/>
          <w:szCs w:val="24"/>
        </w:rPr>
        <w:t xml:space="preserve"> (1987) vlastnosti a distribuci 36 prvků v půdách, které mohou být za určitých podmínek rizikové (hovoříme též o </w:t>
      </w:r>
      <w:proofErr w:type="spellStart"/>
      <w:r w:rsidR="003B581C" w:rsidRPr="003B581C">
        <w:rPr>
          <w:bCs/>
          <w:szCs w:val="24"/>
        </w:rPr>
        <w:t>potencionalitě</w:t>
      </w:r>
      <w:proofErr w:type="spellEnd"/>
      <w:r w:rsidR="003B581C" w:rsidRPr="003B581C">
        <w:rPr>
          <w:bCs/>
          <w:szCs w:val="24"/>
        </w:rPr>
        <w:t xml:space="preserve"> rizikovosti). V oboru kontaminace půd, je </w:t>
      </w:r>
      <w:r w:rsidR="00007537" w:rsidRPr="003B581C">
        <w:rPr>
          <w:bCs/>
          <w:szCs w:val="24"/>
        </w:rPr>
        <w:t>však řešen</w:t>
      </w:r>
      <w:r w:rsidR="003B581C" w:rsidRPr="003B581C">
        <w:rPr>
          <w:bCs/>
          <w:szCs w:val="24"/>
        </w:rPr>
        <w:t xml:space="preserve"> pouze menší podíl tohoto širokého souboru prvků. </w:t>
      </w:r>
      <w:r w:rsidR="00007537" w:rsidRPr="003B581C">
        <w:rPr>
          <w:bCs/>
          <w:szCs w:val="24"/>
        </w:rPr>
        <w:t>Kritériem</w:t>
      </w:r>
      <w:r w:rsidR="003B581C" w:rsidRPr="003B581C">
        <w:rPr>
          <w:bCs/>
          <w:szCs w:val="24"/>
        </w:rPr>
        <w:t xml:space="preserve"> výběru je v první řadě současný stav úrovně poznání o zdravotním významu rizikových prvků a problémech spojených s jejich výskytem v půdách. </w:t>
      </w:r>
    </w:p>
    <w:p w:rsidR="00007537" w:rsidRDefault="00007537" w:rsidP="00A948CA">
      <w:pPr>
        <w:pStyle w:val="Zkladntextodsazen"/>
        <w:tabs>
          <w:tab w:val="num" w:pos="0"/>
        </w:tabs>
        <w:spacing w:line="240" w:lineRule="auto"/>
        <w:ind w:left="0"/>
        <w:jc w:val="both"/>
      </w:pPr>
      <w:r>
        <w:t>Rizikové prvky jsou v </w:t>
      </w:r>
      <w:proofErr w:type="spellStart"/>
      <w:r>
        <w:t>pedosféře</w:t>
      </w:r>
      <w:proofErr w:type="spellEnd"/>
      <w:r>
        <w:t xml:space="preserve"> obsaženy v pevné fázi a v roztoku (</w:t>
      </w:r>
      <w:proofErr w:type="spellStart"/>
      <w:r>
        <w:t>Römkens</w:t>
      </w:r>
      <w:proofErr w:type="spellEnd"/>
      <w:r>
        <w:t xml:space="preserve">, 1992) </w:t>
      </w:r>
    </w:p>
    <w:p w:rsidR="00007537" w:rsidRPr="00007537" w:rsidRDefault="00007537" w:rsidP="00A948CA">
      <w:pPr>
        <w:pStyle w:val="Zkladntextodsazen"/>
        <w:spacing w:line="240" w:lineRule="auto"/>
        <w:ind w:left="0"/>
        <w:jc w:val="both"/>
      </w:pPr>
      <w:r w:rsidRPr="00007537">
        <w:t xml:space="preserve">pevná fáze </w:t>
      </w:r>
    </w:p>
    <w:p w:rsidR="00007537" w:rsidRDefault="00007537" w:rsidP="00A948CA">
      <w:pPr>
        <w:pStyle w:val="Zkladntextodsazen"/>
        <w:numPr>
          <w:ilvl w:val="0"/>
          <w:numId w:val="5"/>
        </w:numPr>
        <w:spacing w:line="240" w:lineRule="auto"/>
        <w:jc w:val="both"/>
      </w:pPr>
      <w:r>
        <w:t>rizikové prvky adsorbované na jílové minerály, (</w:t>
      </w:r>
      <w:proofErr w:type="spellStart"/>
      <w:r>
        <w:t>hydr</w:t>
      </w:r>
      <w:proofErr w:type="spellEnd"/>
      <w:r>
        <w:t>)oxidy a organickou hmotu</w:t>
      </w:r>
    </w:p>
    <w:p w:rsidR="00007537" w:rsidRDefault="00007537" w:rsidP="00A948CA">
      <w:pPr>
        <w:pStyle w:val="Zkladntextodsazen"/>
        <w:numPr>
          <w:ilvl w:val="0"/>
          <w:numId w:val="3"/>
        </w:numPr>
        <w:spacing w:line="240" w:lineRule="auto"/>
        <w:jc w:val="both"/>
      </w:pPr>
      <w:r>
        <w:t>rizikové prvky ve formě sloučenin</w:t>
      </w:r>
    </w:p>
    <w:p w:rsidR="00007537" w:rsidRPr="00007537" w:rsidRDefault="00007537" w:rsidP="00A948CA">
      <w:pPr>
        <w:pStyle w:val="Zkladntextodsazen"/>
        <w:numPr>
          <w:ilvl w:val="0"/>
          <w:numId w:val="3"/>
        </w:numPr>
        <w:spacing w:line="240" w:lineRule="auto"/>
        <w:jc w:val="both"/>
      </w:pPr>
      <w:r>
        <w:t>rizikové prvky obsažené v půdotvorném substrátu</w:t>
      </w:r>
    </w:p>
    <w:p w:rsidR="00007537" w:rsidRPr="00007537" w:rsidRDefault="00007537" w:rsidP="00A948CA">
      <w:pPr>
        <w:pStyle w:val="Zkladntextodsazen"/>
        <w:spacing w:line="240" w:lineRule="auto"/>
        <w:ind w:left="0"/>
        <w:jc w:val="both"/>
      </w:pPr>
      <w:r w:rsidRPr="00007537">
        <w:t>roztok</w:t>
      </w:r>
    </w:p>
    <w:p w:rsidR="00007537" w:rsidRDefault="00007537" w:rsidP="00A948CA">
      <w:pPr>
        <w:pStyle w:val="Zkladntextodsazen"/>
        <w:numPr>
          <w:ilvl w:val="0"/>
          <w:numId w:val="4"/>
        </w:numPr>
        <w:spacing w:line="240" w:lineRule="auto"/>
        <w:ind w:left="714" w:hanging="357"/>
        <w:jc w:val="both"/>
      </w:pPr>
      <w:r>
        <w:t>volné kovy</w:t>
      </w:r>
    </w:p>
    <w:p w:rsidR="00007537" w:rsidRDefault="00007537" w:rsidP="00A948CA">
      <w:pPr>
        <w:pStyle w:val="Zkladntextodsazen"/>
        <w:numPr>
          <w:ilvl w:val="0"/>
          <w:numId w:val="4"/>
        </w:numPr>
        <w:spacing w:line="240" w:lineRule="auto"/>
        <w:jc w:val="both"/>
      </w:pPr>
      <w:r>
        <w:t>anorganické komplexy</w:t>
      </w:r>
    </w:p>
    <w:p w:rsidR="00007537" w:rsidRDefault="00007537" w:rsidP="00A948CA">
      <w:pPr>
        <w:pStyle w:val="Zkladntextodsazen"/>
        <w:numPr>
          <w:ilvl w:val="0"/>
          <w:numId w:val="4"/>
        </w:numPr>
        <w:spacing w:line="240" w:lineRule="auto"/>
        <w:jc w:val="both"/>
      </w:pPr>
      <w:r>
        <w:t>organické komplexy</w:t>
      </w:r>
    </w:p>
    <w:p w:rsidR="00007537" w:rsidRDefault="00007537" w:rsidP="00A948CA">
      <w:pPr>
        <w:pStyle w:val="Zkladntextodsazen"/>
        <w:tabs>
          <w:tab w:val="num" w:pos="0"/>
        </w:tabs>
        <w:spacing w:line="240" w:lineRule="auto"/>
        <w:ind w:left="0"/>
        <w:jc w:val="both"/>
      </w:pPr>
      <w:r>
        <w:t>Rizikové prvky obsažené v půdním roztoku tvoří velmi malou část jejich celkového půdního obsahu, ale z hlediska jejich mobility a biologické dostupnosti mají primární význam. Proces přechodu prvků z pevné části do roztoku je kontinuálním a stále nedostatečně popsaným jevem. Někteří autoři se snaží o vypracování matematických modelů, zohledňujících vybrané půdní charakteristiky (pH, obsah org</w:t>
      </w:r>
      <w:r w:rsidR="00594789">
        <w:t>anického</w:t>
      </w:r>
      <w:r>
        <w:t xml:space="preserve"> C) a celkový obsah rizikových prvků k predikci výskytu obsahu volných prvků v půdním roztoku (</w:t>
      </w:r>
      <w:proofErr w:type="spellStart"/>
      <w:r>
        <w:t>Sauvé</w:t>
      </w:r>
      <w:proofErr w:type="spellEnd"/>
      <w:r>
        <w:t xml:space="preserve">, 1999). </w:t>
      </w:r>
    </w:p>
    <w:p w:rsidR="00007537" w:rsidRDefault="00007537" w:rsidP="00A948CA">
      <w:pPr>
        <w:pStyle w:val="Zkladntextodsazen"/>
        <w:tabs>
          <w:tab w:val="num" w:pos="0"/>
        </w:tabs>
        <w:spacing w:line="240" w:lineRule="auto"/>
        <w:ind w:left="0"/>
        <w:jc w:val="both"/>
      </w:pPr>
      <w:r>
        <w:t xml:space="preserve">Odhadem zhruba 10% podíl rizikových prvků v pevné fázi poskytuje výměnné ionty. Podle </w:t>
      </w:r>
      <w:proofErr w:type="spellStart"/>
      <w:r>
        <w:t>Shumana</w:t>
      </w:r>
      <w:proofErr w:type="spellEnd"/>
      <w:r w:rsidR="001F59C3">
        <w:t>,</w:t>
      </w:r>
      <w:r>
        <w:t xml:space="preserve"> (1991) mají významný podíl na přechodu do půdního roztoku pouze adsorbované ionty. Tyto hodnoty však značně kolísají u jednotlivých prvků a jsou rozdílné i v závislosti na jejich celkové koncentraci, původu a v neposlední řadě půdních podmínek.  V půdě se rizikové prvky sorbují (iontovou výměnou nebo </w:t>
      </w:r>
      <w:proofErr w:type="spellStart"/>
      <w:r>
        <w:t>chemi</w:t>
      </w:r>
      <w:proofErr w:type="spellEnd"/>
      <w:r>
        <w:t xml:space="preserve">-sorpce) na organické a anorganické sloučeniny (hovoříme o </w:t>
      </w:r>
      <w:proofErr w:type="spellStart"/>
      <w:r>
        <w:t>organo</w:t>
      </w:r>
      <w:proofErr w:type="spellEnd"/>
      <w:r>
        <w:t>-minerálním sorpčním komplexu). Některé chemické metody umožňují stanovení vybraných vazeb, většinou se jedná o tzv. sekvenční analýzy</w:t>
      </w:r>
      <w:r w:rsidR="00B14EB7">
        <w:t xml:space="preserve"> nebo též frakcionace</w:t>
      </w:r>
      <w:r>
        <w:t xml:space="preserve"> (např. v EU standardně používaná metoda BCR</w:t>
      </w:r>
      <w:r w:rsidR="00B14EB7">
        <w:t xml:space="preserve">, vymezující celkem 4 frakce). Původně byly tyto metody zavedeny pro stanovení vazeb prvků v kalech z čistíren odpadních vod, frakcionace dle </w:t>
      </w:r>
      <w:proofErr w:type="spellStart"/>
      <w:r w:rsidR="00B14EB7">
        <w:t>Tessiera</w:t>
      </w:r>
      <w:proofErr w:type="spellEnd"/>
      <w:r w:rsidR="00B14EB7">
        <w:t xml:space="preserve"> (</w:t>
      </w:r>
      <w:proofErr w:type="spellStart"/>
      <w:r w:rsidR="00B14EB7">
        <w:t>Tessier</w:t>
      </w:r>
      <w:proofErr w:type="spellEnd"/>
      <w:r w:rsidR="00B14EB7">
        <w:t xml:space="preserve"> et al.</w:t>
      </w:r>
      <w:r w:rsidR="004A3773">
        <w:t>,</w:t>
      </w:r>
      <w:r w:rsidR="00B14EB7">
        <w:t xml:space="preserve"> 1979). Později byly tyto metody rozpracovány i pro půdu, příkladem může být sekvenční analýza </w:t>
      </w:r>
      <w:proofErr w:type="spellStart"/>
      <w:r w:rsidR="00B14EB7">
        <w:t>Zeien</w:t>
      </w:r>
      <w:proofErr w:type="spellEnd"/>
      <w:r w:rsidR="00B14EB7">
        <w:t xml:space="preserve"> </w:t>
      </w:r>
      <w:r w:rsidR="004A3773">
        <w:t>et</w:t>
      </w:r>
      <w:r w:rsidR="00B14EB7">
        <w:t xml:space="preserve"> </w:t>
      </w:r>
      <w:proofErr w:type="spellStart"/>
      <w:r w:rsidR="00B14EB7">
        <w:t>Brümmer</w:t>
      </w:r>
      <w:proofErr w:type="spellEnd"/>
      <w:r w:rsidR="001F59C3">
        <w:t>,</w:t>
      </w:r>
      <w:r w:rsidR="00B14EB7">
        <w:t xml:space="preserve"> (1989), která zahrnuje následující frakce:</w:t>
      </w:r>
    </w:p>
    <w:p w:rsidR="00B14EB7" w:rsidRDefault="00B14EB7" w:rsidP="00A948CA">
      <w:pPr>
        <w:pStyle w:val="Zkladntextodsazen"/>
        <w:numPr>
          <w:ilvl w:val="0"/>
          <w:numId w:val="6"/>
        </w:numPr>
        <w:tabs>
          <w:tab w:val="num" w:pos="720"/>
        </w:tabs>
        <w:spacing w:line="240" w:lineRule="auto"/>
        <w:jc w:val="both"/>
      </w:pPr>
      <w:r>
        <w:t>vodorozpustné (v půdním roztoku)</w:t>
      </w:r>
    </w:p>
    <w:p w:rsidR="00B14EB7" w:rsidRDefault="00B14EB7" w:rsidP="00A948CA">
      <w:pPr>
        <w:pStyle w:val="Zkladntextodsazen"/>
        <w:numPr>
          <w:ilvl w:val="0"/>
          <w:numId w:val="6"/>
        </w:numPr>
        <w:tabs>
          <w:tab w:val="num" w:pos="720"/>
        </w:tabs>
        <w:spacing w:line="240" w:lineRule="auto"/>
        <w:jc w:val="both"/>
      </w:pPr>
      <w:r>
        <w:t>výměnné</w:t>
      </w:r>
    </w:p>
    <w:p w:rsidR="00B14EB7" w:rsidRDefault="00B14EB7" w:rsidP="00A948CA">
      <w:pPr>
        <w:pStyle w:val="Zkladntextodsazen"/>
        <w:numPr>
          <w:ilvl w:val="0"/>
          <w:numId w:val="6"/>
        </w:numPr>
        <w:tabs>
          <w:tab w:val="num" w:pos="720"/>
        </w:tabs>
        <w:spacing w:line="240" w:lineRule="auto"/>
        <w:jc w:val="both"/>
      </w:pPr>
      <w:r>
        <w:t>organicky vázané</w:t>
      </w:r>
    </w:p>
    <w:p w:rsidR="00B14EB7" w:rsidRDefault="00B14EB7" w:rsidP="00A948CA">
      <w:pPr>
        <w:pStyle w:val="Zkladntextodsazen"/>
        <w:numPr>
          <w:ilvl w:val="0"/>
          <w:numId w:val="6"/>
        </w:numPr>
        <w:tabs>
          <w:tab w:val="num" w:pos="720"/>
        </w:tabs>
        <w:spacing w:line="240" w:lineRule="auto"/>
        <w:jc w:val="both"/>
      </w:pPr>
      <w:r>
        <w:t xml:space="preserve">vázané na oxidy </w:t>
      </w:r>
      <w:proofErr w:type="spellStart"/>
      <w:r>
        <w:t>Fe</w:t>
      </w:r>
      <w:proofErr w:type="spellEnd"/>
      <w:r>
        <w:t xml:space="preserve"> a </w:t>
      </w:r>
      <w:proofErr w:type="spellStart"/>
      <w:r>
        <w:t>Mn</w:t>
      </w:r>
      <w:proofErr w:type="spellEnd"/>
    </w:p>
    <w:p w:rsidR="00B14EB7" w:rsidRDefault="00B14EB7" w:rsidP="00A948CA">
      <w:pPr>
        <w:pStyle w:val="Zkladntextodsazen"/>
        <w:numPr>
          <w:ilvl w:val="0"/>
          <w:numId w:val="6"/>
        </w:numPr>
        <w:tabs>
          <w:tab w:val="num" w:pos="720"/>
        </w:tabs>
        <w:spacing w:line="240" w:lineRule="auto"/>
        <w:jc w:val="both"/>
      </w:pPr>
      <w:r>
        <w:t>vázané ve sloučeninách (karbonáty, fosfáty, sulfidy)</w:t>
      </w:r>
    </w:p>
    <w:p w:rsidR="00B14EB7" w:rsidRDefault="00B14EB7" w:rsidP="00A948CA">
      <w:pPr>
        <w:pStyle w:val="Zkladntextodsazen"/>
        <w:numPr>
          <w:ilvl w:val="0"/>
          <w:numId w:val="6"/>
        </w:numPr>
        <w:tabs>
          <w:tab w:val="num" w:pos="720"/>
        </w:tabs>
        <w:spacing w:line="240" w:lineRule="auto"/>
        <w:jc w:val="both"/>
      </w:pPr>
      <w:r>
        <w:t>zabudované v krystalických strukturách silikátů (reziduální)</w:t>
      </w:r>
    </w:p>
    <w:p w:rsidR="00B14EB7" w:rsidRDefault="00B14EB7" w:rsidP="00A948CA">
      <w:pPr>
        <w:pStyle w:val="Zkladntextodsazen"/>
        <w:tabs>
          <w:tab w:val="num" w:pos="720"/>
        </w:tabs>
        <w:spacing w:line="240" w:lineRule="auto"/>
        <w:ind w:left="0"/>
        <w:jc w:val="both"/>
      </w:pPr>
      <w:r>
        <w:t>Chování rizikových prvků v půdách je ovlivněno půdními vlastnostmi a různé rizikové prvky mohou mít i různý stupeň závislosti na vybraných půdních vlastnostech. K nejdůležitějším patří:</w:t>
      </w:r>
    </w:p>
    <w:p w:rsidR="00B14EB7" w:rsidRDefault="00B14EB7" w:rsidP="00A948CA">
      <w:pPr>
        <w:pStyle w:val="Zkladntextodsazen"/>
        <w:numPr>
          <w:ilvl w:val="0"/>
          <w:numId w:val="7"/>
        </w:numPr>
        <w:spacing w:line="240" w:lineRule="auto"/>
        <w:jc w:val="both"/>
      </w:pPr>
      <w:r>
        <w:t xml:space="preserve">kationtová výměnná kapacita </w:t>
      </w:r>
    </w:p>
    <w:p w:rsidR="00B14EB7" w:rsidRDefault="00B14EB7" w:rsidP="00A948CA">
      <w:pPr>
        <w:pStyle w:val="Zkladntextodsazen"/>
        <w:numPr>
          <w:ilvl w:val="0"/>
          <w:numId w:val="7"/>
        </w:numPr>
        <w:spacing w:line="240" w:lineRule="auto"/>
        <w:jc w:val="both"/>
      </w:pPr>
      <w:r>
        <w:t>půdní reakce (pH)</w:t>
      </w:r>
    </w:p>
    <w:p w:rsidR="00B14EB7" w:rsidRDefault="00B14EB7" w:rsidP="00A948CA">
      <w:pPr>
        <w:pStyle w:val="Zkladntextodsazen"/>
        <w:numPr>
          <w:ilvl w:val="0"/>
          <w:numId w:val="7"/>
        </w:numPr>
        <w:spacing w:line="240" w:lineRule="auto"/>
        <w:jc w:val="both"/>
      </w:pPr>
      <w:r>
        <w:t>redukčně-oxidační potenciál půdy</w:t>
      </w:r>
    </w:p>
    <w:p w:rsidR="00B14EB7" w:rsidRDefault="00B14EB7" w:rsidP="00A948CA">
      <w:pPr>
        <w:pStyle w:val="Zkladntextodsazen"/>
        <w:numPr>
          <w:ilvl w:val="0"/>
          <w:numId w:val="7"/>
        </w:numPr>
        <w:spacing w:line="240" w:lineRule="auto"/>
        <w:jc w:val="both"/>
      </w:pPr>
      <w:r>
        <w:t>obsah organické hmoty</w:t>
      </w:r>
    </w:p>
    <w:p w:rsidR="00B14EB7" w:rsidRDefault="00B14EB7" w:rsidP="00A948CA">
      <w:pPr>
        <w:pStyle w:val="Zkladntextodsazen"/>
        <w:numPr>
          <w:ilvl w:val="0"/>
          <w:numId w:val="7"/>
        </w:numPr>
        <w:spacing w:line="240" w:lineRule="auto"/>
        <w:jc w:val="both"/>
      </w:pPr>
      <w:r>
        <w:t>struktura</w:t>
      </w:r>
    </w:p>
    <w:p w:rsidR="00B14EB7" w:rsidRDefault="00B14EB7" w:rsidP="00A948CA">
      <w:pPr>
        <w:pStyle w:val="Zkladntextodsazen"/>
        <w:numPr>
          <w:ilvl w:val="0"/>
          <w:numId w:val="7"/>
        </w:numPr>
        <w:spacing w:line="240" w:lineRule="auto"/>
        <w:jc w:val="both"/>
      </w:pPr>
      <w:r>
        <w:t>salinita půdy</w:t>
      </w:r>
    </w:p>
    <w:p w:rsidR="00B14EB7" w:rsidRDefault="00B14EB7" w:rsidP="00A948CA">
      <w:pPr>
        <w:pStyle w:val="Zkladntextodsazen"/>
        <w:numPr>
          <w:ilvl w:val="0"/>
          <w:numId w:val="7"/>
        </w:numPr>
        <w:spacing w:line="240" w:lineRule="auto"/>
        <w:jc w:val="both"/>
      </w:pPr>
      <w:r>
        <w:t>mikrobiální aktivita</w:t>
      </w:r>
    </w:p>
    <w:p w:rsidR="009559AF" w:rsidRDefault="009559AF" w:rsidP="00A948CA">
      <w:pPr>
        <w:pStyle w:val="Zkladntextodsazen"/>
        <w:tabs>
          <w:tab w:val="num" w:pos="0"/>
        </w:tabs>
        <w:spacing w:line="240" w:lineRule="auto"/>
        <w:ind w:left="0"/>
        <w:jc w:val="both"/>
      </w:pPr>
      <w:r>
        <w:t xml:space="preserve">Kationtová výměnná kapacita půdy je dána především velikostí </w:t>
      </w:r>
      <w:proofErr w:type="spellStart"/>
      <w:r>
        <w:t>organominerálního</w:t>
      </w:r>
      <w:proofErr w:type="spellEnd"/>
      <w:r>
        <w:t xml:space="preserve"> sorpčního komplexu, který určuje </w:t>
      </w:r>
      <w:proofErr w:type="spellStart"/>
      <w:r>
        <w:t>pufrační</w:t>
      </w:r>
      <w:proofErr w:type="spellEnd"/>
      <w:r>
        <w:t xml:space="preserve"> schopnost půd. </w:t>
      </w:r>
      <w:proofErr w:type="spellStart"/>
      <w:r>
        <w:t>Pufrační</w:t>
      </w:r>
      <w:proofErr w:type="spellEnd"/>
      <w:r>
        <w:t xml:space="preserve"> vlastnosti půd přímo ovlivňují i zranitelnost (vulnerabilitu) půd vůči negativním vlivům potencionální kontaminace rizikovými prvky (Podlešáková et al.</w:t>
      </w:r>
      <w:r w:rsidR="004A3773">
        <w:t>,</w:t>
      </w:r>
      <w:r>
        <w:t xml:space="preserve"> 1997). Na </w:t>
      </w:r>
      <w:proofErr w:type="spellStart"/>
      <w:r>
        <w:t>pufrační</w:t>
      </w:r>
      <w:proofErr w:type="spellEnd"/>
      <w:r>
        <w:t xml:space="preserve"> schopnosti půd se může </w:t>
      </w:r>
      <w:r w:rsidR="004A1C2F">
        <w:t>významně podílet</w:t>
      </w:r>
      <w:r>
        <w:t xml:space="preserve"> vyšší obsah volných oxidů </w:t>
      </w:r>
      <w:proofErr w:type="spellStart"/>
      <w:r>
        <w:t>Fe</w:t>
      </w:r>
      <w:proofErr w:type="spellEnd"/>
      <w:r>
        <w:t xml:space="preserve"> a </w:t>
      </w:r>
      <w:proofErr w:type="spellStart"/>
      <w:r>
        <w:t>Mn</w:t>
      </w:r>
      <w:proofErr w:type="spellEnd"/>
      <w:r>
        <w:t xml:space="preserve"> v některých půdách. </w:t>
      </w:r>
      <w:proofErr w:type="spellStart"/>
      <w:r>
        <w:t>Hydr</w:t>
      </w:r>
      <w:proofErr w:type="spellEnd"/>
      <w:r>
        <w:t xml:space="preserve">(oxidy) </w:t>
      </w:r>
      <w:proofErr w:type="spellStart"/>
      <w:r>
        <w:t>Fe</w:t>
      </w:r>
      <w:proofErr w:type="spellEnd"/>
      <w:r>
        <w:t xml:space="preserve"> a </w:t>
      </w:r>
      <w:proofErr w:type="spellStart"/>
      <w:r>
        <w:t>Mn</w:t>
      </w:r>
      <w:proofErr w:type="spellEnd"/>
      <w:r>
        <w:t xml:space="preserve"> jsou schopné pufrovat vyšší obsahy některých rizikových prvků (</w:t>
      </w:r>
      <w:r w:rsidR="004A3773">
        <w:t>Němeček et al., 2010;</w:t>
      </w:r>
      <w:r>
        <w:t xml:space="preserve"> </w:t>
      </w:r>
      <w:proofErr w:type="spellStart"/>
      <w:r>
        <w:t>Sörensen</w:t>
      </w:r>
      <w:proofErr w:type="spellEnd"/>
      <w:r>
        <w:t xml:space="preserve"> et al.</w:t>
      </w:r>
      <w:r w:rsidR="004A3773">
        <w:t>,</w:t>
      </w:r>
      <w:r>
        <w:t xml:space="preserve"> 1999). </w:t>
      </w:r>
    </w:p>
    <w:p w:rsidR="009559AF" w:rsidRDefault="009559AF" w:rsidP="00A948CA">
      <w:pPr>
        <w:pStyle w:val="Zkladntextodsazen"/>
        <w:tabs>
          <w:tab w:val="num" w:pos="0"/>
        </w:tabs>
        <w:spacing w:line="240" w:lineRule="auto"/>
        <w:ind w:left="0"/>
        <w:jc w:val="both"/>
      </w:pPr>
      <w:r>
        <w:t xml:space="preserve">Minerální a organický podíl půdy podléhá vzájemným interakcím, při kterých dochází ke slučování minerálních a organických substancí. Při těchto procesech jsou stálé organické sloučeniny (sloučeniny dusíku, </w:t>
      </w:r>
      <w:proofErr w:type="spellStart"/>
      <w:r>
        <w:t>alkylaromáty</w:t>
      </w:r>
      <w:proofErr w:type="spellEnd"/>
      <w:r>
        <w:t xml:space="preserve"> apod.) selektivně vázány na jemnou jílovou frakci, a tím dochází ke vzniku </w:t>
      </w:r>
      <w:proofErr w:type="spellStart"/>
      <w:r>
        <w:t>organo</w:t>
      </w:r>
      <w:proofErr w:type="spellEnd"/>
      <w:r>
        <w:t>-minerálního sorpčního komplexu půd (</w:t>
      </w:r>
      <w:proofErr w:type="spellStart"/>
      <w:r>
        <w:t>Righi</w:t>
      </w:r>
      <w:proofErr w:type="spellEnd"/>
      <w:r>
        <w:t xml:space="preserve"> et al.</w:t>
      </w:r>
      <w:r w:rsidR="004A3773">
        <w:t>,</w:t>
      </w:r>
      <w:r>
        <w:t xml:space="preserve"> 1995).</w:t>
      </w:r>
    </w:p>
    <w:p w:rsidR="009559AF" w:rsidRDefault="009559AF" w:rsidP="00A948CA">
      <w:pPr>
        <w:pStyle w:val="Zkladntextodsazen"/>
        <w:tabs>
          <w:tab w:val="num" w:pos="0"/>
        </w:tabs>
        <w:spacing w:line="240" w:lineRule="auto"/>
        <w:ind w:left="0"/>
        <w:jc w:val="both"/>
      </w:pPr>
      <w:r>
        <w:t xml:space="preserve">Nejvýznamnějším podílem minerálního sorpčního komplexu jsou jílové minerály, produkty zvětrávání primárních minerálů. </w:t>
      </w:r>
      <w:proofErr w:type="spellStart"/>
      <w:r>
        <w:t>Turpault</w:t>
      </w:r>
      <w:proofErr w:type="spellEnd"/>
      <w:r>
        <w:t xml:space="preserve"> et al.</w:t>
      </w:r>
      <w:r w:rsidR="004A3773">
        <w:t>,</w:t>
      </w:r>
      <w:r>
        <w:t xml:space="preserve"> (1996) zjistil, že např. u lesních kyselých </w:t>
      </w:r>
      <w:proofErr w:type="spellStart"/>
      <w:r>
        <w:t>kambizemí</w:t>
      </w:r>
      <w:proofErr w:type="spellEnd"/>
      <w:r>
        <w:t xml:space="preserve"> z rul a žul se na kationtové výměnné kapacitě významně podílí i hrubý minerální podíl (frakce 0.2 – 2 mm).</w:t>
      </w:r>
    </w:p>
    <w:p w:rsidR="009559AF" w:rsidRDefault="009559AF" w:rsidP="00A948CA">
      <w:pPr>
        <w:pStyle w:val="Zkladntextodsazen"/>
        <w:tabs>
          <w:tab w:val="num" w:pos="0"/>
        </w:tabs>
        <w:spacing w:line="240" w:lineRule="auto"/>
        <w:ind w:left="0"/>
        <w:jc w:val="both"/>
      </w:pPr>
      <w:r>
        <w:t xml:space="preserve">Proces tvorby jílových minerálů závisí na výchozím primárním minerálu a </w:t>
      </w:r>
      <w:proofErr w:type="spellStart"/>
      <w:r>
        <w:t>pedo</w:t>
      </w:r>
      <w:proofErr w:type="spellEnd"/>
      <w:r>
        <w:t xml:space="preserve">-klimatických podmínkách. V našich podmínkách jsou zpravidla výchozím primárním minerálem u rozšířeného půdního typu neutrálních až kyselých </w:t>
      </w:r>
      <w:proofErr w:type="spellStart"/>
      <w:r>
        <w:t>kambizemí</w:t>
      </w:r>
      <w:proofErr w:type="spellEnd"/>
      <w:r>
        <w:t xml:space="preserve"> slídy, které větrají v posloupnosti půdní slídy-</w:t>
      </w:r>
      <w:proofErr w:type="spellStart"/>
      <w:r>
        <w:t>illit</w:t>
      </w:r>
      <w:proofErr w:type="spellEnd"/>
      <w:r>
        <w:t xml:space="preserve">-půdní vermikulit-půdní </w:t>
      </w:r>
      <w:proofErr w:type="spellStart"/>
      <w:r>
        <w:t>smektit</w:t>
      </w:r>
      <w:proofErr w:type="spellEnd"/>
      <w:r>
        <w:t>, popř. sekundární chlorit u kyselých půd (Němeček et al.</w:t>
      </w:r>
      <w:r w:rsidR="004A3773">
        <w:t>,</w:t>
      </w:r>
      <w:r>
        <w:t xml:space="preserve"> 1990). </w:t>
      </w:r>
    </w:p>
    <w:p w:rsidR="009559AF" w:rsidRDefault="009559AF" w:rsidP="00A948CA">
      <w:pPr>
        <w:pStyle w:val="Zkladntextodsazen"/>
        <w:tabs>
          <w:tab w:val="num" w:pos="0"/>
        </w:tabs>
        <w:spacing w:line="240" w:lineRule="auto"/>
        <w:ind w:left="0"/>
        <w:jc w:val="both"/>
      </w:pPr>
      <w:r>
        <w:t xml:space="preserve">Jílové minerály se z hlediska vazby rizikových prvků uplatňují při sorpci některých kationtů (Ni, </w:t>
      </w:r>
      <w:proofErr w:type="spellStart"/>
      <w:r>
        <w:t>Zn</w:t>
      </w:r>
      <w:proofErr w:type="spellEnd"/>
      <w:r>
        <w:t xml:space="preserve">, Cd, </w:t>
      </w:r>
      <w:proofErr w:type="spellStart"/>
      <w:r>
        <w:t>Pb</w:t>
      </w:r>
      <w:proofErr w:type="spellEnd"/>
      <w:r>
        <w:t>), přičemž adsorpce těchto prvků jíly je silně ovlivněna poměrem Si/Al, sférickým efektem mezivrstev, Lewisovou kyselinovou sílou kovů a hodnotou pH prostředí (</w:t>
      </w:r>
      <w:proofErr w:type="spellStart"/>
      <w:r>
        <w:t>Schulthess</w:t>
      </w:r>
      <w:proofErr w:type="spellEnd"/>
      <w:r w:rsidR="004A3773">
        <w:t xml:space="preserve"> et</w:t>
      </w:r>
      <w:r>
        <w:t xml:space="preserve"> </w:t>
      </w:r>
      <w:proofErr w:type="spellStart"/>
      <w:r>
        <w:t>Huang</w:t>
      </w:r>
      <w:proofErr w:type="spellEnd"/>
      <w:r>
        <w:t>, 1990). Vzájemný podíl minerální a organické složky na celkové kationtové výměnné kapacitě závisí na půdním druhu a typu a rozdíly vzájemného poměru se budou u jednotlivých půdních představitelů diametrálně lišit. Obecné údaje hovoří o 10 – 85% podílu organického sorpčního komplexu na celkové kationtové výměnné kapacitě půdy (</w:t>
      </w:r>
      <w:proofErr w:type="spellStart"/>
      <w:r>
        <w:t>Turpault</w:t>
      </w:r>
      <w:proofErr w:type="spellEnd"/>
      <w:r>
        <w:t xml:space="preserve"> et al.</w:t>
      </w:r>
      <w:r w:rsidR="004A3773">
        <w:t>,</w:t>
      </w:r>
      <w:r>
        <w:t xml:space="preserve"> 1996).   Samotná vazba rizikových prvků na </w:t>
      </w:r>
      <w:proofErr w:type="spellStart"/>
      <w:r>
        <w:t>organo</w:t>
      </w:r>
      <w:proofErr w:type="spellEnd"/>
      <w:r>
        <w:t>-minerální sorpční komplex je přitom specifická s tím, že některé rizikové prvky se váží přednostně na minerální složku sorpčního komplexu, u jiných byla prokázána intenzivní vazba na organický podíl (</w:t>
      </w:r>
      <w:proofErr w:type="spellStart"/>
      <w:r>
        <w:t>Cu</w:t>
      </w:r>
      <w:proofErr w:type="spellEnd"/>
      <w:r>
        <w:t xml:space="preserve">, </w:t>
      </w:r>
      <w:proofErr w:type="spellStart"/>
      <w:r>
        <w:t>Hg</w:t>
      </w:r>
      <w:proofErr w:type="spellEnd"/>
      <w:r>
        <w:t xml:space="preserve">, </w:t>
      </w:r>
      <w:proofErr w:type="spellStart"/>
      <w:r>
        <w:t>Pb</w:t>
      </w:r>
      <w:proofErr w:type="spellEnd"/>
      <w:r>
        <w:t>).</w:t>
      </w:r>
    </w:p>
    <w:p w:rsidR="009559AF" w:rsidRDefault="009559AF" w:rsidP="00A948CA">
      <w:pPr>
        <w:pStyle w:val="Zkladntextodsazen"/>
        <w:tabs>
          <w:tab w:val="num" w:pos="0"/>
        </w:tabs>
        <w:spacing w:line="240" w:lineRule="auto"/>
        <w:ind w:left="0"/>
        <w:jc w:val="both"/>
      </w:pPr>
      <w:r>
        <w:t xml:space="preserve">Vliv půdní reakce na chování rizikových prvků byl prokázán v mnoha pracích. </w:t>
      </w:r>
      <w:r w:rsidR="004C6C39">
        <w:t>Z některých</w:t>
      </w:r>
      <w:r>
        <w:t xml:space="preserve"> (Podlešáková et al.</w:t>
      </w:r>
      <w:r w:rsidR="006D4EDB">
        <w:t>,</w:t>
      </w:r>
      <w:r>
        <w:t xml:space="preserve"> </w:t>
      </w:r>
      <w:r w:rsidR="004A3773">
        <w:t>2001</w:t>
      </w:r>
      <w:r>
        <w:t xml:space="preserve">) vyplývá nepřímá korelace půdní reakce s mobilitou rizikových prvků v půdě i jejich transferem do testovaných plodin. Mobilní rizikové prvky (Cd, </w:t>
      </w:r>
      <w:proofErr w:type="spellStart"/>
      <w:r>
        <w:t>Zn</w:t>
      </w:r>
      <w:proofErr w:type="spellEnd"/>
      <w:r>
        <w:t xml:space="preserve">, </w:t>
      </w:r>
      <w:proofErr w:type="spellStart"/>
      <w:r>
        <w:t>Mn</w:t>
      </w:r>
      <w:proofErr w:type="spellEnd"/>
      <w:r>
        <w:t>, Ni, Co) vykazují všeobecně těsnou závislost na změně pH a reagují i na jeho malé změny. Vliv půdní reakce na chování nemobilních rizikových prvků (</w:t>
      </w:r>
      <w:proofErr w:type="spellStart"/>
      <w:r>
        <w:t>Cr</w:t>
      </w:r>
      <w:proofErr w:type="spellEnd"/>
      <w:r>
        <w:t xml:space="preserve">, </w:t>
      </w:r>
      <w:proofErr w:type="spellStart"/>
      <w:r>
        <w:t>Pb</w:t>
      </w:r>
      <w:proofErr w:type="spellEnd"/>
      <w:r>
        <w:t xml:space="preserve">, V, </w:t>
      </w:r>
      <w:proofErr w:type="spellStart"/>
      <w:r>
        <w:t>Be</w:t>
      </w:r>
      <w:proofErr w:type="spellEnd"/>
      <w:r>
        <w:t>) je méně významný a ke zvýšení jejich mobility, a především pak transferu do rostlin, je třeba drastického poklesu půdní reakce (kromě As, který vykazuje se změnou pH  přímou korelaci).</w:t>
      </w:r>
    </w:p>
    <w:p w:rsidR="009559AF" w:rsidRDefault="009559AF" w:rsidP="00A948CA">
      <w:pPr>
        <w:pStyle w:val="Zkladntextodsazen"/>
        <w:tabs>
          <w:tab w:val="num" w:pos="0"/>
        </w:tabs>
        <w:spacing w:line="240" w:lineRule="auto"/>
        <w:ind w:left="0"/>
        <w:jc w:val="both"/>
      </w:pPr>
      <w:r>
        <w:t>K podobným závěrům došl</w:t>
      </w:r>
      <w:r w:rsidR="001F59C3">
        <w:t>i</w:t>
      </w:r>
      <w:r>
        <w:t xml:space="preserve"> také </w:t>
      </w:r>
      <w:proofErr w:type="spellStart"/>
      <w:r>
        <w:t>Csillag</w:t>
      </w:r>
      <w:proofErr w:type="spellEnd"/>
      <w:r>
        <w:t xml:space="preserve"> et al.</w:t>
      </w:r>
      <w:r w:rsidR="006D4EDB">
        <w:t>,</w:t>
      </w:r>
      <w:r>
        <w:t xml:space="preserve"> (1999), kte</w:t>
      </w:r>
      <w:r w:rsidR="001F59C3">
        <w:t>ří</w:t>
      </w:r>
      <w:r>
        <w:t xml:space="preserve"> sledoval</w:t>
      </w:r>
      <w:r w:rsidR="001F59C3">
        <w:t>i</w:t>
      </w:r>
      <w:r>
        <w:t xml:space="preserve"> vliv půdní reakce na obsah Cd, </w:t>
      </w:r>
      <w:proofErr w:type="spellStart"/>
      <w:r>
        <w:t>Cr</w:t>
      </w:r>
      <w:proofErr w:type="spellEnd"/>
      <w:r>
        <w:t xml:space="preserve">, Ni, </w:t>
      </w:r>
      <w:proofErr w:type="spellStart"/>
      <w:r>
        <w:t>Pb</w:t>
      </w:r>
      <w:proofErr w:type="spellEnd"/>
      <w:r>
        <w:t xml:space="preserve"> a </w:t>
      </w:r>
      <w:proofErr w:type="spellStart"/>
      <w:r>
        <w:t>Zn</w:t>
      </w:r>
      <w:proofErr w:type="spellEnd"/>
      <w:r>
        <w:t xml:space="preserve"> v půdním roztoku na uměle kontaminované kyselé </w:t>
      </w:r>
      <w:proofErr w:type="spellStart"/>
      <w:r>
        <w:t>kambizemi</w:t>
      </w:r>
      <w:proofErr w:type="spellEnd"/>
      <w:r>
        <w:t xml:space="preserve">. Z publikovaných výsledků vyplývá, že v případě mobilních rizikových prvků (Cd, </w:t>
      </w:r>
      <w:proofErr w:type="spellStart"/>
      <w:r>
        <w:t>Zn</w:t>
      </w:r>
      <w:proofErr w:type="spellEnd"/>
      <w:r>
        <w:t xml:space="preserve"> a Ni) závisel obsah kovů v půdním roztoku na koncentraci v půdě a pH. </w:t>
      </w:r>
      <w:proofErr w:type="spellStart"/>
      <w:r>
        <w:t>Pb</w:t>
      </w:r>
      <w:proofErr w:type="spellEnd"/>
      <w:r>
        <w:t xml:space="preserve"> a </w:t>
      </w:r>
      <w:proofErr w:type="spellStart"/>
      <w:r>
        <w:t>Cr</w:t>
      </w:r>
      <w:proofErr w:type="spellEnd"/>
      <w:r>
        <w:t xml:space="preserve"> se uvolňovaly do půdního roztoku pouze v případě extrémního zvýšení půdní acidity.</w:t>
      </w:r>
    </w:p>
    <w:p w:rsidR="009559AF" w:rsidRDefault="009559AF" w:rsidP="00A948CA">
      <w:pPr>
        <w:pStyle w:val="Zkladntextodsazen"/>
        <w:tabs>
          <w:tab w:val="num" w:pos="0"/>
        </w:tabs>
        <w:spacing w:line="240" w:lineRule="auto"/>
        <w:ind w:left="0"/>
        <w:jc w:val="both"/>
      </w:pPr>
      <w:r>
        <w:t xml:space="preserve">Mnoho prací referuje o primárním významu pH na chování rizikových prvků při porovnání mnoha souběžně působících faktorů. </w:t>
      </w:r>
      <w:proofErr w:type="spellStart"/>
      <w:r>
        <w:t>Gavi</w:t>
      </w:r>
      <w:proofErr w:type="spellEnd"/>
      <w:r>
        <w:t xml:space="preserve"> et. </w:t>
      </w:r>
      <w:proofErr w:type="gramStart"/>
      <w:r w:rsidR="006D4EDB">
        <w:t>al</w:t>
      </w:r>
      <w:proofErr w:type="gramEnd"/>
      <w:r w:rsidR="006D4EDB">
        <w:t xml:space="preserve">., </w:t>
      </w:r>
      <w:r>
        <w:t>(1997) zkoumal závislost obsahu Cd v zrnu pšenice na hnojení N, P, K a půdní reakci. Prokázal pouze závislost obsahu Cd v zrnu na půdní reakci, vliv aplikace hnojiv byl neprůkazný.</w:t>
      </w:r>
    </w:p>
    <w:p w:rsidR="009559AF" w:rsidRDefault="009559AF" w:rsidP="00A948CA">
      <w:pPr>
        <w:pStyle w:val="Zkladntextodsazen"/>
        <w:tabs>
          <w:tab w:val="num" w:pos="0"/>
        </w:tabs>
        <w:spacing w:line="240" w:lineRule="auto"/>
        <w:ind w:left="0"/>
        <w:jc w:val="both"/>
      </w:pPr>
      <w:proofErr w:type="spellStart"/>
      <w:r>
        <w:t>Goldberg</w:t>
      </w:r>
      <w:proofErr w:type="spellEnd"/>
      <w:r>
        <w:t xml:space="preserve"> </w:t>
      </w:r>
      <w:r w:rsidR="006D4EDB">
        <w:t>et</w:t>
      </w:r>
      <w:r>
        <w:t xml:space="preserve"> </w:t>
      </w:r>
      <w:proofErr w:type="spellStart"/>
      <w:r>
        <w:t>Foster</w:t>
      </w:r>
      <w:proofErr w:type="spellEnd"/>
      <w:r w:rsidR="006D4EDB">
        <w:t>,</w:t>
      </w:r>
      <w:r>
        <w:t xml:space="preserve"> (1997) porovnávali vliv půdní reakce, koncentrace </w:t>
      </w:r>
      <w:proofErr w:type="spellStart"/>
      <w:r>
        <w:t>Mo</w:t>
      </w:r>
      <w:proofErr w:type="spellEnd"/>
      <w:r>
        <w:t xml:space="preserve"> v půdním roztoku, teploty, koncentraci konkurenčních iontů a iontového proudu na adsorpci </w:t>
      </w:r>
      <w:proofErr w:type="spellStart"/>
      <w:r>
        <w:t>Mo</w:t>
      </w:r>
      <w:proofErr w:type="spellEnd"/>
      <w:r>
        <w:t xml:space="preserve"> na oxidy </w:t>
      </w:r>
      <w:proofErr w:type="spellStart"/>
      <w:r>
        <w:t>Fe</w:t>
      </w:r>
      <w:proofErr w:type="spellEnd"/>
      <w:r>
        <w:t xml:space="preserve">, amorfní Al a jílové minerály v aridní půdě. </w:t>
      </w:r>
      <w:proofErr w:type="spellStart"/>
      <w:r>
        <w:t>Zjistlili</w:t>
      </w:r>
      <w:proofErr w:type="spellEnd"/>
      <w:r>
        <w:t xml:space="preserve">, že tato adsorpce je funkcí pH a koncentrace </w:t>
      </w:r>
      <w:proofErr w:type="spellStart"/>
      <w:r>
        <w:t>Mo</w:t>
      </w:r>
      <w:proofErr w:type="spellEnd"/>
      <w:r>
        <w:t xml:space="preserve"> v půdním roztoku.   </w:t>
      </w:r>
    </w:p>
    <w:p w:rsidR="009559AF" w:rsidRDefault="009559AF" w:rsidP="00A948CA">
      <w:pPr>
        <w:pStyle w:val="Zkladntextodsazen"/>
        <w:tabs>
          <w:tab w:val="num" w:pos="0"/>
        </w:tabs>
        <w:spacing w:line="240" w:lineRule="auto"/>
        <w:ind w:left="0"/>
        <w:jc w:val="both"/>
      </w:pPr>
      <w:r>
        <w:t>Jones et al.</w:t>
      </w:r>
      <w:r w:rsidR="006D4EDB">
        <w:t>,</w:t>
      </w:r>
      <w:r>
        <w:t xml:space="preserve"> (1997) zjistil</w:t>
      </w:r>
      <w:r w:rsidR="006D3882">
        <w:t>i</w:t>
      </w:r>
      <w:r>
        <w:t xml:space="preserve"> závislost As na úrovni pH ve vzorcích hlušiny a rybničního kalu. Hodnota pH korelovala s existencí rozpustných forem As významněji, než jeho celkový obsah ve zkoumaných vzorcích. Tuto skutečnost vysvětluje závislostí sorpčních reakcí na pH, kdy je As mobilizován vazbou na oxidy </w:t>
      </w:r>
      <w:proofErr w:type="spellStart"/>
      <w:r>
        <w:t>Fe</w:t>
      </w:r>
      <w:proofErr w:type="spellEnd"/>
      <w:r>
        <w:t xml:space="preserve">, přičemž vznik této vazby je ve svém důsledku mnohem významnější, než tvorba </w:t>
      </w:r>
      <w:proofErr w:type="spellStart"/>
      <w:r>
        <w:t>netozpustných</w:t>
      </w:r>
      <w:proofErr w:type="spellEnd"/>
      <w:r>
        <w:t xml:space="preserve"> solí As, které vznikají srážením. Vápněním významně zvýšil mobilitu As. </w:t>
      </w:r>
    </w:p>
    <w:p w:rsidR="009559AF" w:rsidRDefault="009559AF" w:rsidP="00A948CA">
      <w:pPr>
        <w:pStyle w:val="Zkladntextodsazen"/>
        <w:tabs>
          <w:tab w:val="num" w:pos="0"/>
        </w:tabs>
        <w:spacing w:line="240" w:lineRule="auto"/>
        <w:ind w:left="0"/>
        <w:jc w:val="both"/>
      </w:pPr>
      <w:proofErr w:type="spellStart"/>
      <w:r>
        <w:t>Riuwerts</w:t>
      </w:r>
      <w:proofErr w:type="spellEnd"/>
      <w:r>
        <w:t xml:space="preserve"> et al.</w:t>
      </w:r>
      <w:r w:rsidR="006D4EDB">
        <w:t>,</w:t>
      </w:r>
      <w:r>
        <w:t xml:space="preserve"> (1999) porovnával</w:t>
      </w:r>
      <w:r w:rsidR="006D3882">
        <w:t>i</w:t>
      </w:r>
      <w:r>
        <w:t xml:space="preserve"> vliv pH a obsahu rozpustného organického uhlíku na vyluhovatelnosti Cd, </w:t>
      </w:r>
      <w:proofErr w:type="spellStart"/>
      <w:r>
        <w:t>Cu</w:t>
      </w:r>
      <w:proofErr w:type="spellEnd"/>
      <w:r>
        <w:t xml:space="preserve">, </w:t>
      </w:r>
      <w:proofErr w:type="spellStart"/>
      <w:r>
        <w:t>Pb</w:t>
      </w:r>
      <w:proofErr w:type="spellEnd"/>
      <w:r>
        <w:t xml:space="preserve"> a </w:t>
      </w:r>
      <w:proofErr w:type="spellStart"/>
      <w:r>
        <w:t>Zn</w:t>
      </w:r>
      <w:proofErr w:type="spellEnd"/>
      <w:r>
        <w:t xml:space="preserve"> z půdy vodním výluhem a chloridem vápenatým. Při použití vodního výluhu byla prokázána korelace pH s obsahem Cd a </w:t>
      </w:r>
      <w:proofErr w:type="spellStart"/>
      <w:r>
        <w:t>Zn</w:t>
      </w:r>
      <w:proofErr w:type="spellEnd"/>
      <w:r>
        <w:t xml:space="preserve">, kdy s rostoucí aciditou dochází k vytěsnění těchto prvků z kationtových výměnných vazeb ionty vodíku. Vyluhovatelnost </w:t>
      </w:r>
      <w:proofErr w:type="spellStart"/>
      <w:r>
        <w:t>Pb</w:t>
      </w:r>
      <w:proofErr w:type="spellEnd"/>
      <w:r>
        <w:t xml:space="preserve"> a Obsah </w:t>
      </w:r>
      <w:proofErr w:type="spellStart"/>
      <w:r>
        <w:t>Cu</w:t>
      </w:r>
      <w:proofErr w:type="spellEnd"/>
      <w:r>
        <w:t xml:space="preserve"> koreloval těsněji s obsahem organického C. Při použití chloridu vápenatého změna pH ovlivnila vyluhovatelnost Cd, </w:t>
      </w:r>
      <w:proofErr w:type="spellStart"/>
      <w:r>
        <w:t>Zn</w:t>
      </w:r>
      <w:proofErr w:type="spellEnd"/>
      <w:r>
        <w:t xml:space="preserve"> a </w:t>
      </w:r>
      <w:proofErr w:type="spellStart"/>
      <w:r>
        <w:t>Pb</w:t>
      </w:r>
      <w:proofErr w:type="spellEnd"/>
      <w:r>
        <w:t>.</w:t>
      </w:r>
    </w:p>
    <w:p w:rsidR="009559AF" w:rsidRDefault="009559AF" w:rsidP="00A948CA">
      <w:pPr>
        <w:pStyle w:val="Zkladntextodsazen"/>
        <w:tabs>
          <w:tab w:val="num" w:pos="0"/>
        </w:tabs>
        <w:spacing w:line="240" w:lineRule="auto"/>
        <w:ind w:left="0"/>
        <w:jc w:val="both"/>
      </w:pPr>
      <w:r>
        <w:t xml:space="preserve">Hodnota půdní reakce zároveň ovlivňuje i biologickou přístupnost a toxicitu rizikových prvků (výskyt jejich forem v půdním prostředí) pro organizmy. </w:t>
      </w:r>
      <w:proofErr w:type="spellStart"/>
      <w:r>
        <w:t>Rimmer</w:t>
      </w:r>
      <w:proofErr w:type="spellEnd"/>
      <w:r>
        <w:t xml:space="preserve"> et al.</w:t>
      </w:r>
      <w:r w:rsidR="007055E9">
        <w:t>,</w:t>
      </w:r>
      <w:r>
        <w:t xml:space="preserve"> (1999) popisuje vysokou toxicitu </w:t>
      </w:r>
      <w:proofErr w:type="spellStart"/>
      <w:r>
        <w:t>Cu</w:t>
      </w:r>
      <w:proofErr w:type="spellEnd"/>
      <w:r>
        <w:t xml:space="preserve"> pro vyšší rostliny, jestliže v půdě kontaminované </w:t>
      </w:r>
      <w:proofErr w:type="spellStart"/>
      <w:r>
        <w:t>Cu</w:t>
      </w:r>
      <w:proofErr w:type="spellEnd"/>
      <w:r>
        <w:t xml:space="preserve"> došlo k výraznému poklesu úrovně pH. Při hodnotách pH okolo 4 byla </w:t>
      </w:r>
      <w:proofErr w:type="spellStart"/>
      <w:r>
        <w:t>Cu</w:t>
      </w:r>
      <w:proofErr w:type="spellEnd"/>
      <w:r>
        <w:t xml:space="preserve"> v půdě zastoupena převážně v anorganické formě, lehce přístupné pro testované rostliny.</w:t>
      </w:r>
    </w:p>
    <w:p w:rsidR="009559AF" w:rsidRDefault="009559AF" w:rsidP="00A948CA">
      <w:pPr>
        <w:pStyle w:val="Zkladntextodsazen"/>
        <w:tabs>
          <w:tab w:val="num" w:pos="0"/>
        </w:tabs>
        <w:spacing w:line="240" w:lineRule="auto"/>
        <w:ind w:left="0"/>
        <w:jc w:val="both"/>
      </w:pPr>
      <w:r>
        <w:t xml:space="preserve"> </w:t>
      </w:r>
      <w:proofErr w:type="spellStart"/>
      <w:r>
        <w:t>Lebourgh</w:t>
      </w:r>
      <w:proofErr w:type="spellEnd"/>
      <w:r>
        <w:t xml:space="preserve"> et al.</w:t>
      </w:r>
      <w:r w:rsidR="007055E9">
        <w:t>,</w:t>
      </w:r>
      <w:r>
        <w:t xml:space="preserve"> (1998) zkoumali vliv pH na změnu forem Cd, </w:t>
      </w:r>
      <w:proofErr w:type="spellStart"/>
      <w:r>
        <w:t>Cu</w:t>
      </w:r>
      <w:proofErr w:type="spellEnd"/>
      <w:r>
        <w:t xml:space="preserve"> , </w:t>
      </w:r>
      <w:proofErr w:type="spellStart"/>
      <w:r>
        <w:t>Pb</w:t>
      </w:r>
      <w:proofErr w:type="spellEnd"/>
      <w:r>
        <w:t xml:space="preserve"> a </w:t>
      </w:r>
      <w:proofErr w:type="spellStart"/>
      <w:r>
        <w:t>Zn</w:t>
      </w:r>
      <w:proofErr w:type="spellEnd"/>
      <w:r>
        <w:t xml:space="preserve"> v nenasyceném roztoku ve třech různých extraktech (0.01M CaCl</w:t>
      </w:r>
      <w:r>
        <w:rPr>
          <w:vertAlign w:val="subscript"/>
        </w:rPr>
        <w:t>2</w:t>
      </w:r>
      <w:r>
        <w:t>, 0.1M NaNO</w:t>
      </w:r>
      <w:r>
        <w:rPr>
          <w:vertAlign w:val="subscript"/>
        </w:rPr>
        <w:t>3</w:t>
      </w:r>
      <w:r>
        <w:t>, 1M NH</w:t>
      </w:r>
      <w:r>
        <w:rPr>
          <w:vertAlign w:val="subscript"/>
        </w:rPr>
        <w:t>4</w:t>
      </w:r>
      <w:r>
        <w:t>NO</w:t>
      </w:r>
      <w:r>
        <w:rPr>
          <w:vertAlign w:val="subscript"/>
        </w:rPr>
        <w:t>3</w:t>
      </w:r>
      <w:r>
        <w:t xml:space="preserve">). Zjistili, že acidita přímo ovlivňuje změnu forem rizikových prvků v jednotlivých extraktech. </w:t>
      </w:r>
    </w:p>
    <w:p w:rsidR="004A1C2F" w:rsidRDefault="004A1C2F" w:rsidP="00A948CA">
      <w:pPr>
        <w:pStyle w:val="Zkladntextodsazen"/>
        <w:tabs>
          <w:tab w:val="num" w:pos="0"/>
        </w:tabs>
        <w:spacing w:line="240" w:lineRule="auto"/>
        <w:ind w:left="0"/>
        <w:jc w:val="both"/>
      </w:pPr>
      <w:r>
        <w:t>Oxidačně-redukční potenciál půdy (</w:t>
      </w:r>
      <w:proofErr w:type="spellStart"/>
      <w:r>
        <w:t>Eh</w:t>
      </w:r>
      <w:proofErr w:type="spellEnd"/>
      <w:r>
        <w:t xml:space="preserve">), který charakterizuje oxidační a redukční podmínky v půdním </w:t>
      </w:r>
      <w:r w:rsidR="004C6C39">
        <w:t>prostředí, je</w:t>
      </w:r>
      <w:r>
        <w:t xml:space="preserve"> faktorem důležitým pro posouzení stability různých forem kovů (Cibulka et al.</w:t>
      </w:r>
      <w:r w:rsidR="007055E9">
        <w:t>,</w:t>
      </w:r>
      <w:r>
        <w:t xml:space="preserve"> 1991).</w:t>
      </w:r>
    </w:p>
    <w:p w:rsidR="004A1C2F" w:rsidRDefault="004A1C2F" w:rsidP="00A948CA">
      <w:pPr>
        <w:pStyle w:val="Zkladntextodsazen"/>
        <w:tabs>
          <w:tab w:val="num" w:pos="0"/>
        </w:tabs>
        <w:spacing w:line="240" w:lineRule="auto"/>
        <w:ind w:left="0"/>
        <w:jc w:val="both"/>
      </w:pPr>
      <w:r>
        <w:t xml:space="preserve">Redukčně-oxidační režim má největší vliv na přeměny sloučenin </w:t>
      </w:r>
      <w:proofErr w:type="spellStart"/>
      <w:r>
        <w:t>Fe</w:t>
      </w:r>
      <w:proofErr w:type="spellEnd"/>
      <w:r>
        <w:t xml:space="preserve">, </w:t>
      </w:r>
      <w:proofErr w:type="spellStart"/>
      <w:r>
        <w:t>Mn</w:t>
      </w:r>
      <w:proofErr w:type="spellEnd"/>
      <w:r>
        <w:t xml:space="preserve"> a S v půdě (Němeček et al.</w:t>
      </w:r>
      <w:r w:rsidR="007055E9">
        <w:t>,</w:t>
      </w:r>
      <w:r>
        <w:t xml:space="preserve"> 1990). U železa mají v oxidačně-redukčních reakcích největší význam ionty Fe</w:t>
      </w:r>
      <w:r>
        <w:rPr>
          <w:vertAlign w:val="superscript"/>
        </w:rPr>
        <w:t>2+</w:t>
      </w:r>
      <w:r>
        <w:t xml:space="preserve"> a Fe</w:t>
      </w:r>
      <w:r>
        <w:rPr>
          <w:vertAlign w:val="superscript"/>
        </w:rPr>
        <w:t xml:space="preserve">3+ </w:t>
      </w:r>
      <w:r>
        <w:t>, volné oxidy a hydroxidy, fosfáty, sulfidy a komplexní sloučeniny s organickými látkami. Mangan je v půdě zastoupen ve dvou nebo čtyřmocné formě iontů, oxidů nebo karbonátů. U půd, které obsahují sírany, dochází v redukčních podmínkách k jejich přeměně na sulfidy.</w:t>
      </w:r>
      <w:r>
        <w:rPr>
          <w:vertAlign w:val="superscript"/>
        </w:rPr>
        <w:t xml:space="preserve"> </w:t>
      </w:r>
      <w:r>
        <w:t xml:space="preserve">V černých a rezivých akumulacích  </w:t>
      </w:r>
      <w:proofErr w:type="spellStart"/>
      <w:r>
        <w:t>reoxidovaných</w:t>
      </w:r>
      <w:proofErr w:type="spellEnd"/>
      <w:r>
        <w:t xml:space="preserve"> hydratovaných oxidů a hydroxidů </w:t>
      </w:r>
      <w:proofErr w:type="spellStart"/>
      <w:r>
        <w:t>Fe</w:t>
      </w:r>
      <w:proofErr w:type="spellEnd"/>
      <w:r>
        <w:t xml:space="preserve"> a </w:t>
      </w:r>
      <w:proofErr w:type="spellStart"/>
      <w:r>
        <w:t>Mn</w:t>
      </w:r>
      <w:proofErr w:type="spellEnd"/>
      <w:r>
        <w:t xml:space="preserve"> v </w:t>
      </w:r>
      <w:proofErr w:type="spellStart"/>
      <w:r>
        <w:t>hydromorfních</w:t>
      </w:r>
      <w:proofErr w:type="spellEnd"/>
      <w:r>
        <w:t xml:space="preserve"> půdách byl </w:t>
      </w:r>
      <w:r w:rsidR="004C6C39">
        <w:t>zjištěn zvýšený</w:t>
      </w:r>
      <w:r>
        <w:t xml:space="preserve"> výskyt Co, Ni, </w:t>
      </w:r>
      <w:proofErr w:type="spellStart"/>
      <w:r>
        <w:t>Cu</w:t>
      </w:r>
      <w:proofErr w:type="spellEnd"/>
      <w:r>
        <w:t xml:space="preserve"> a Zn.</w:t>
      </w:r>
      <w:r>
        <w:rPr>
          <w:vertAlign w:val="superscript"/>
        </w:rPr>
        <w:t xml:space="preserve">  </w:t>
      </w:r>
      <w:r>
        <w:tab/>
      </w:r>
    </w:p>
    <w:p w:rsidR="004A1C2F" w:rsidRDefault="004A1C2F" w:rsidP="00A948CA">
      <w:pPr>
        <w:pStyle w:val="Zkladntextodsazen"/>
        <w:tabs>
          <w:tab w:val="num" w:pos="0"/>
        </w:tabs>
        <w:spacing w:line="240" w:lineRule="auto"/>
        <w:ind w:left="0"/>
        <w:jc w:val="both"/>
      </w:pPr>
      <w:r>
        <w:t xml:space="preserve">Podle </w:t>
      </w:r>
      <w:r w:rsidR="006D3882">
        <w:t xml:space="preserve">autorů </w:t>
      </w:r>
      <w:proofErr w:type="spellStart"/>
      <w:r>
        <w:t>Römkens</w:t>
      </w:r>
      <w:proofErr w:type="spellEnd"/>
      <w:r>
        <w:t xml:space="preserve"> et al.</w:t>
      </w:r>
      <w:r w:rsidR="007055E9">
        <w:t>,</w:t>
      </w:r>
      <w:r>
        <w:t xml:space="preserve"> </w:t>
      </w:r>
      <w:r w:rsidR="006D3882">
        <w:t>(</w:t>
      </w:r>
      <w:r>
        <w:t xml:space="preserve">1992) se projevuje působení redoxního potenciálu půdy změnou oxidačního čísla rizikových prvků. Na chování rizikových prvků má dále negativní vliv rozpouštění oxidů </w:t>
      </w:r>
      <w:proofErr w:type="spellStart"/>
      <w:r>
        <w:t>Fe</w:t>
      </w:r>
      <w:proofErr w:type="spellEnd"/>
      <w:r>
        <w:t xml:space="preserve">, </w:t>
      </w:r>
      <w:proofErr w:type="spellStart"/>
      <w:r w:rsidR="004C6C39">
        <w:t>Mn</w:t>
      </w:r>
      <w:proofErr w:type="spellEnd"/>
      <w:r w:rsidR="004C6C39">
        <w:t xml:space="preserve"> v redukčních</w:t>
      </w:r>
      <w:r>
        <w:t xml:space="preserve"> podmínkách, naopak vznik </w:t>
      </w:r>
      <w:r w:rsidR="004C6C39">
        <w:t>karbonátů a sulfidů</w:t>
      </w:r>
      <w:r>
        <w:t xml:space="preserve"> železa v redukčních podmínkách může vést ke snížení mobility rizikových prvků, stejně jako reakce sulfidů s těžkými kovy.</w:t>
      </w:r>
    </w:p>
    <w:p w:rsidR="004A1C2F" w:rsidRDefault="007055E9" w:rsidP="00A948CA">
      <w:pPr>
        <w:pStyle w:val="Zkladntextodsazen"/>
        <w:tabs>
          <w:tab w:val="num" w:pos="0"/>
        </w:tabs>
        <w:spacing w:line="240" w:lineRule="auto"/>
        <w:ind w:left="0"/>
        <w:jc w:val="both"/>
      </w:pPr>
      <w:r>
        <w:t>Z</w:t>
      </w:r>
      <w:r w:rsidR="004A1C2F">
        <w:t> pr</w:t>
      </w:r>
      <w:r>
        <w:t>a</w:t>
      </w:r>
      <w:r w:rsidR="004A1C2F">
        <w:t>c</w:t>
      </w:r>
      <w:r>
        <w:t>í</w:t>
      </w:r>
      <w:r w:rsidR="004A1C2F">
        <w:t xml:space="preserve"> </w:t>
      </w:r>
      <w:r>
        <w:t>VÚMOP (Němeček et al., 2010) vyplývá</w:t>
      </w:r>
      <w:r w:rsidR="004A1C2F">
        <w:t xml:space="preserve"> vysoká závislost mobility </w:t>
      </w:r>
      <w:proofErr w:type="spellStart"/>
      <w:r w:rsidR="004A1C2F">
        <w:t>Mn</w:t>
      </w:r>
      <w:proofErr w:type="spellEnd"/>
      <w:r w:rsidR="004A1C2F">
        <w:t xml:space="preserve"> v půdě na oxidačně-redukčních podmínkách a byla prokázána jeho vysoká mobilita v podmínkách oxidačního prostředí.</w:t>
      </w:r>
    </w:p>
    <w:p w:rsidR="004C6C39" w:rsidRDefault="004C6C39" w:rsidP="00A948CA">
      <w:pPr>
        <w:pStyle w:val="Zkladntextodsazen"/>
        <w:tabs>
          <w:tab w:val="num" w:pos="0"/>
          <w:tab w:val="num" w:pos="846"/>
        </w:tabs>
        <w:spacing w:line="240" w:lineRule="auto"/>
        <w:ind w:left="0"/>
        <w:jc w:val="both"/>
      </w:pPr>
      <w:r>
        <w:t xml:space="preserve">Obsah organické hmoty v půdě může významně ovlivnit chování některých rizikových prvků v půdách, a to především </w:t>
      </w:r>
      <w:proofErr w:type="spellStart"/>
      <w:r>
        <w:t>Cu</w:t>
      </w:r>
      <w:proofErr w:type="spellEnd"/>
      <w:r>
        <w:t xml:space="preserve">,  </w:t>
      </w:r>
      <w:proofErr w:type="spellStart"/>
      <w:r>
        <w:t>Hg</w:t>
      </w:r>
      <w:proofErr w:type="spellEnd"/>
      <w:r>
        <w:t xml:space="preserve">,  </w:t>
      </w:r>
      <w:proofErr w:type="spellStart"/>
      <w:r>
        <w:t>Pb</w:t>
      </w:r>
      <w:proofErr w:type="spellEnd"/>
      <w:r>
        <w:t xml:space="preserve">, v menší míře i </w:t>
      </w:r>
      <w:proofErr w:type="spellStart"/>
      <w:r>
        <w:t>Zn</w:t>
      </w:r>
      <w:proofErr w:type="spellEnd"/>
      <w:r>
        <w:t xml:space="preserve"> a Cd. </w:t>
      </w:r>
      <w:proofErr w:type="spellStart"/>
      <w:r>
        <w:t>Wang</w:t>
      </w:r>
      <w:proofErr w:type="spellEnd"/>
      <w:r>
        <w:t xml:space="preserve"> </w:t>
      </w:r>
      <w:r w:rsidR="007055E9">
        <w:t>et</w:t>
      </w:r>
      <w:r>
        <w:t xml:space="preserve"> </w:t>
      </w:r>
      <w:proofErr w:type="spellStart"/>
      <w:r>
        <w:t>Huang</w:t>
      </w:r>
      <w:proofErr w:type="spellEnd"/>
      <w:r w:rsidR="007055E9">
        <w:t>,</w:t>
      </w:r>
      <w:r>
        <w:t xml:space="preserve"> (1999) uvád</w:t>
      </w:r>
      <w:r w:rsidR="006D3882">
        <w:t>ějí</w:t>
      </w:r>
      <w:r>
        <w:t xml:space="preserve"> afinitu čtyř rizikových prvků k humusovým substancím v posloupnosti </w:t>
      </w:r>
      <w:proofErr w:type="spellStart"/>
      <w:r>
        <w:t>Pb</w:t>
      </w:r>
      <w:proofErr w:type="spellEnd"/>
      <w:r>
        <w:t xml:space="preserve"> </w:t>
      </w:r>
      <w:r>
        <w:sym w:font="Symbol" w:char="F03E"/>
      </w:r>
      <w:r>
        <w:t xml:space="preserve"> </w:t>
      </w:r>
      <w:proofErr w:type="spellStart"/>
      <w:r>
        <w:t>Cu</w:t>
      </w:r>
      <w:proofErr w:type="spellEnd"/>
      <w:r>
        <w:t xml:space="preserve"> </w:t>
      </w:r>
      <w:r>
        <w:sym w:font="Symbol" w:char="F03E"/>
      </w:r>
      <w:r>
        <w:t xml:space="preserve"> Cd </w:t>
      </w:r>
      <w:r>
        <w:sym w:font="Symbol" w:char="F03E"/>
      </w:r>
      <w:r>
        <w:t xml:space="preserve"> Zn. </w:t>
      </w:r>
    </w:p>
    <w:p w:rsidR="004C6C39" w:rsidRDefault="004C6C39" w:rsidP="00A948CA">
      <w:pPr>
        <w:pStyle w:val="Zkladntextodsazen"/>
        <w:tabs>
          <w:tab w:val="num" w:pos="0"/>
          <w:tab w:val="num" w:pos="846"/>
        </w:tabs>
        <w:spacing w:line="240" w:lineRule="auto"/>
        <w:ind w:left="0"/>
        <w:jc w:val="both"/>
      </w:pPr>
      <w:proofErr w:type="spellStart"/>
      <w:r>
        <w:t>Donisa</w:t>
      </w:r>
      <w:proofErr w:type="spellEnd"/>
      <w:r>
        <w:t xml:space="preserve"> et al</w:t>
      </w:r>
      <w:r w:rsidR="007055E9">
        <w:t>.,</w:t>
      </w:r>
      <w:r>
        <w:t xml:space="preserve"> (1999) porovnával</w:t>
      </w:r>
      <w:r w:rsidR="006D3882">
        <w:t>i</w:t>
      </w:r>
      <w:r>
        <w:t xml:space="preserve"> vazbu rizikových prvků na organickou hmotu ve dvou odlišných půdních typech. U obou půd zjistil</w:t>
      </w:r>
      <w:r w:rsidR="006D3882">
        <w:t>i</w:t>
      </w:r>
      <w:r>
        <w:t xml:space="preserve"> vysokou afinitu k organickým molekulám u </w:t>
      </w:r>
      <w:proofErr w:type="spellStart"/>
      <w:r>
        <w:t>Cu</w:t>
      </w:r>
      <w:proofErr w:type="spellEnd"/>
      <w:r>
        <w:t xml:space="preserve"> a </w:t>
      </w:r>
      <w:proofErr w:type="spellStart"/>
      <w:r>
        <w:t>Pb</w:t>
      </w:r>
      <w:proofErr w:type="spellEnd"/>
      <w:r>
        <w:t xml:space="preserve">, nižší u </w:t>
      </w:r>
      <w:proofErr w:type="spellStart"/>
      <w:r>
        <w:t>Cr</w:t>
      </w:r>
      <w:proofErr w:type="spellEnd"/>
      <w:r>
        <w:t xml:space="preserve">, vazba dalších rizikových prvků (Cd, </w:t>
      </w:r>
      <w:proofErr w:type="spellStart"/>
      <w:r>
        <w:t>Mn</w:t>
      </w:r>
      <w:proofErr w:type="spellEnd"/>
      <w:r>
        <w:t xml:space="preserve">, </w:t>
      </w:r>
      <w:proofErr w:type="spellStart"/>
      <w:r>
        <w:t>Zn</w:t>
      </w:r>
      <w:proofErr w:type="spellEnd"/>
      <w:r>
        <w:t>) se mírně lišila v závislosti na půdním typu.</w:t>
      </w:r>
    </w:p>
    <w:p w:rsidR="004C6C39" w:rsidRDefault="004C6C39" w:rsidP="00A948CA">
      <w:pPr>
        <w:pStyle w:val="Zkladntextodsazen"/>
        <w:tabs>
          <w:tab w:val="num" w:pos="0"/>
          <w:tab w:val="num" w:pos="846"/>
        </w:tabs>
        <w:spacing w:line="240" w:lineRule="auto"/>
        <w:ind w:left="0"/>
        <w:jc w:val="both"/>
      </w:pPr>
      <w:r>
        <w:t>Organické substance mohou ovlivnit chování rizikových prvků v půdě několika způsoby.  Vznik migrujících komplexů je příčinou zvýšené rozpustnosti rizikových prvků, dále může být výrazně změněn poměr mezi oxidovanými a redukovanými formami rizikových prvků v půdě a dochází i k ovlivnění vazby rizikových prvků na pevnou půdní matrici (Singer</w:t>
      </w:r>
      <w:r w:rsidR="007055E9">
        <w:t>,</w:t>
      </w:r>
      <w:r>
        <w:t xml:space="preserve"> 1977).</w:t>
      </w:r>
    </w:p>
    <w:p w:rsidR="004C6C39" w:rsidRDefault="004C6C39" w:rsidP="00A948CA">
      <w:pPr>
        <w:pStyle w:val="Zkladntextodsazen"/>
        <w:tabs>
          <w:tab w:val="num" w:pos="0"/>
          <w:tab w:val="num" w:pos="846"/>
        </w:tabs>
        <w:spacing w:line="240" w:lineRule="auto"/>
        <w:ind w:left="0"/>
        <w:jc w:val="both"/>
      </w:pPr>
      <w:r>
        <w:t>Nejvýznamnějšími reakcemi, které byly mezi rizikovými prvky a organickou hmotou popsány, patří tvorba komplexů a chelátů s organickými molekulami (Beneš</w:t>
      </w:r>
      <w:r w:rsidR="005714C7">
        <w:t xml:space="preserve"> et</w:t>
      </w:r>
      <w:r>
        <w:t xml:space="preserve"> </w:t>
      </w:r>
      <w:proofErr w:type="spellStart"/>
      <w:r>
        <w:t>Pabiánová</w:t>
      </w:r>
      <w:proofErr w:type="spellEnd"/>
      <w:r w:rsidR="005714C7">
        <w:t>,</w:t>
      </w:r>
      <w:r>
        <w:t xml:space="preserve"> 1987).  Většina kovů vykazuje přednostní vazbu s </w:t>
      </w:r>
      <w:proofErr w:type="spellStart"/>
      <w:r>
        <w:t>fulvo</w:t>
      </w:r>
      <w:proofErr w:type="spellEnd"/>
      <w:r>
        <w:t xml:space="preserve"> a </w:t>
      </w:r>
      <w:proofErr w:type="spellStart"/>
      <w:r>
        <w:t>huminovými</w:t>
      </w:r>
      <w:proofErr w:type="spellEnd"/>
      <w:r>
        <w:t xml:space="preserve"> kyselinami, některé kovy (</w:t>
      </w:r>
      <w:proofErr w:type="spellStart"/>
      <w:r>
        <w:t>Cu</w:t>
      </w:r>
      <w:proofErr w:type="spellEnd"/>
      <w:r>
        <w:t>), vykazují vyšší afinitu k </w:t>
      </w:r>
      <w:proofErr w:type="spellStart"/>
      <w:r>
        <w:t>huminovým</w:t>
      </w:r>
      <w:proofErr w:type="spellEnd"/>
      <w:r>
        <w:t xml:space="preserve"> kyselinám (</w:t>
      </w:r>
      <w:proofErr w:type="spellStart"/>
      <w:r>
        <w:t>Kabata-Pendias</w:t>
      </w:r>
      <w:proofErr w:type="spellEnd"/>
      <w:r w:rsidR="005714C7">
        <w:t xml:space="preserve"> et</w:t>
      </w:r>
      <w:r>
        <w:t xml:space="preserve"> </w:t>
      </w:r>
      <w:proofErr w:type="spellStart"/>
      <w:r>
        <w:t>Pendias</w:t>
      </w:r>
      <w:proofErr w:type="spellEnd"/>
      <w:r w:rsidR="005714C7">
        <w:t>,</w:t>
      </w:r>
      <w:r>
        <w:t xml:space="preserve"> 1984), jiné kovy (Cd) se váží ochotně s </w:t>
      </w:r>
      <w:proofErr w:type="spellStart"/>
      <w:r>
        <w:t>fulvokyselinami</w:t>
      </w:r>
      <w:proofErr w:type="spellEnd"/>
      <w:r>
        <w:t xml:space="preserve"> (</w:t>
      </w:r>
      <w:proofErr w:type="spellStart"/>
      <w:r>
        <w:t>Coughtrey</w:t>
      </w:r>
      <w:proofErr w:type="spellEnd"/>
      <w:r w:rsidR="005714C7">
        <w:t xml:space="preserve"> et</w:t>
      </w:r>
      <w:r>
        <w:t xml:space="preserve"> </w:t>
      </w:r>
      <w:proofErr w:type="spellStart"/>
      <w:r>
        <w:t>Thorne</w:t>
      </w:r>
      <w:proofErr w:type="spellEnd"/>
      <w:r w:rsidR="005714C7">
        <w:t>,</w:t>
      </w:r>
      <w:r>
        <w:t xml:space="preserve"> 1983).</w:t>
      </w:r>
    </w:p>
    <w:p w:rsidR="004C6C39" w:rsidRDefault="004C6C39" w:rsidP="00A948CA">
      <w:pPr>
        <w:pStyle w:val="Zkladntextodsazen"/>
        <w:tabs>
          <w:tab w:val="num" w:pos="0"/>
          <w:tab w:val="num" w:pos="846"/>
        </w:tabs>
        <w:spacing w:line="240" w:lineRule="auto"/>
        <w:ind w:left="0"/>
        <w:jc w:val="both"/>
      </w:pPr>
      <w:proofErr w:type="spellStart"/>
      <w:r>
        <w:t>Wang</w:t>
      </w:r>
      <w:proofErr w:type="spellEnd"/>
      <w:r>
        <w:t xml:space="preserve"> a </w:t>
      </w:r>
      <w:proofErr w:type="spellStart"/>
      <w:r>
        <w:t>Huang</w:t>
      </w:r>
      <w:proofErr w:type="spellEnd"/>
      <w:r w:rsidR="005714C7">
        <w:t>,</w:t>
      </w:r>
      <w:r>
        <w:t xml:space="preserve"> (1999) zkoumali vazbu rizikových prvků na humusové substance v kompostu, ve kterém byly zastoupeny v nejvyšší koncentraci </w:t>
      </w:r>
      <w:proofErr w:type="spellStart"/>
      <w:r>
        <w:t>fulvokyseliny</w:t>
      </w:r>
      <w:proofErr w:type="spellEnd"/>
      <w:r>
        <w:t xml:space="preserve"> s molekulovou hmotností </w:t>
      </w:r>
      <w:r>
        <w:sym w:font="Symbol" w:char="F03C"/>
      </w:r>
      <w:r>
        <w:t xml:space="preserve"> 1000, v nižší koncentraci </w:t>
      </w:r>
      <w:proofErr w:type="spellStart"/>
      <w:r>
        <w:t>fulvokyseliny</w:t>
      </w:r>
      <w:proofErr w:type="spellEnd"/>
      <w:r>
        <w:t xml:space="preserve"> s molekulovou hmotností </w:t>
      </w:r>
      <w:r>
        <w:sym w:font="Symbol" w:char="F03E"/>
      </w:r>
      <w:r>
        <w:t xml:space="preserve"> 1000 a v nejnižší koncentraci </w:t>
      </w:r>
      <w:proofErr w:type="spellStart"/>
      <w:r>
        <w:t>huminové</w:t>
      </w:r>
      <w:proofErr w:type="spellEnd"/>
      <w:r>
        <w:t xml:space="preserve"> kyseliny s molekulovou hmotností </w:t>
      </w:r>
      <w:r>
        <w:sym w:font="Symbol" w:char="F03E"/>
      </w:r>
      <w:r>
        <w:t xml:space="preserve"> 1000, při dvou úrovních pH. Intenzita zjištěných interakcí mezi rizikovými prvky a uvedenými kyselinami klesala v posloupnosti FK s nízkou molekulovou hmotností, FK s vyšší molekulovou hmotností a </w:t>
      </w:r>
      <w:proofErr w:type="spellStart"/>
      <w:r>
        <w:t>huminové</w:t>
      </w:r>
      <w:proofErr w:type="spellEnd"/>
      <w:r>
        <w:t xml:space="preserve"> kyseliny. Vazba byla intenzivnější při nižší aciditě ( pH 6.5), kdy byla zjištěna vyšší aktivita funkčních skupin humusových substancí než při aciditě vyšší (pH 4).</w:t>
      </w:r>
    </w:p>
    <w:p w:rsidR="004C6C39" w:rsidRDefault="004C6C39" w:rsidP="00A948CA">
      <w:pPr>
        <w:pStyle w:val="Zkladntextodsazen"/>
        <w:tabs>
          <w:tab w:val="num" w:pos="0"/>
          <w:tab w:val="num" w:pos="846"/>
        </w:tabs>
        <w:spacing w:line="240" w:lineRule="auto"/>
        <w:ind w:left="0"/>
        <w:jc w:val="both"/>
      </w:pPr>
      <w:proofErr w:type="spellStart"/>
      <w:r>
        <w:t>Demin</w:t>
      </w:r>
      <w:proofErr w:type="spellEnd"/>
      <w:r>
        <w:t xml:space="preserve"> et al.</w:t>
      </w:r>
      <w:r w:rsidR="005714C7">
        <w:t>,</w:t>
      </w:r>
      <w:r>
        <w:t xml:space="preserve"> (1999) uvádí závislost intenzity reakcí mezi rizikovými prvky a </w:t>
      </w:r>
      <w:proofErr w:type="spellStart"/>
      <w:r>
        <w:t>huminovými</w:t>
      </w:r>
      <w:proofErr w:type="spellEnd"/>
      <w:r>
        <w:t xml:space="preserve"> kyselinami na úrovni pH. Při vyšší hodnotě pH dochází k </w:t>
      </w:r>
      <w:proofErr w:type="spellStart"/>
      <w:r>
        <w:t>intentivnějšímu</w:t>
      </w:r>
      <w:proofErr w:type="spellEnd"/>
      <w:r>
        <w:t xml:space="preserve"> štěpení protonů z aktivních vazebných míst </w:t>
      </w:r>
      <w:proofErr w:type="spellStart"/>
      <w:r>
        <w:t>huminových</w:t>
      </w:r>
      <w:proofErr w:type="spellEnd"/>
      <w:r>
        <w:t xml:space="preserve"> kyselin, které mohou být následně obsazeny rizikovými prvky. Při vazbě iontů rizikových prvků do vnitřní struktury </w:t>
      </w:r>
      <w:proofErr w:type="spellStart"/>
      <w:r>
        <w:t>huminových</w:t>
      </w:r>
      <w:proofErr w:type="spellEnd"/>
      <w:r>
        <w:t xml:space="preserve"> kyselin dochází podle autorů ke strukturálním změnám molekul </w:t>
      </w:r>
      <w:proofErr w:type="spellStart"/>
      <w:r>
        <w:t>huminových</w:t>
      </w:r>
      <w:proofErr w:type="spellEnd"/>
      <w:r>
        <w:t xml:space="preserve"> kyselin. Tyto strukturální změny vedou ke vzniku vysoké stability </w:t>
      </w:r>
      <w:proofErr w:type="spellStart"/>
      <w:r>
        <w:t>metalohuminových</w:t>
      </w:r>
      <w:proofErr w:type="spellEnd"/>
      <w:r>
        <w:t xml:space="preserve"> komplexů.</w:t>
      </w:r>
    </w:p>
    <w:p w:rsidR="004C6C39" w:rsidRDefault="004C6C39" w:rsidP="00A948CA">
      <w:pPr>
        <w:pStyle w:val="Zkladntextodsazen"/>
        <w:tabs>
          <w:tab w:val="num" w:pos="0"/>
          <w:tab w:val="num" w:pos="846"/>
        </w:tabs>
        <w:spacing w:line="240" w:lineRule="auto"/>
        <w:ind w:left="0"/>
        <w:jc w:val="both"/>
      </w:pPr>
      <w:r>
        <w:t xml:space="preserve">Sorpce rizikových prvků na stabilizovanou organickou hmotu (za vzniku stabilních </w:t>
      </w:r>
      <w:proofErr w:type="spellStart"/>
      <w:r>
        <w:t>metalohuminových</w:t>
      </w:r>
      <w:proofErr w:type="spellEnd"/>
      <w:r>
        <w:t xml:space="preserve"> komplexů) může vést ke snížení mobility rizikových prvků v půdě, aplikace slabě rozložené organické hmoty je však příčinou vazby rizikových prvků na nestálé a migrující organické molekuly (slabě poutané </w:t>
      </w:r>
      <w:proofErr w:type="spellStart"/>
      <w:r>
        <w:t>fulvokyseliny</w:t>
      </w:r>
      <w:proofErr w:type="spellEnd"/>
      <w:r>
        <w:t xml:space="preserve">). Vznik těchto </w:t>
      </w:r>
      <w:proofErr w:type="spellStart"/>
      <w:r>
        <w:t>organo</w:t>
      </w:r>
      <w:proofErr w:type="spellEnd"/>
      <w:r w:rsidR="006D3882">
        <w:t>-</w:t>
      </w:r>
      <w:r>
        <w:t>metalových sloučenin vede k růstu mobility rizikových prvků v půdním prostředí (</w:t>
      </w:r>
      <w:proofErr w:type="spellStart"/>
      <w:r>
        <w:t>Shijian</w:t>
      </w:r>
      <w:proofErr w:type="spellEnd"/>
      <w:r>
        <w:t xml:space="preserve"> et al.</w:t>
      </w:r>
      <w:r w:rsidR="005714C7">
        <w:t>,</w:t>
      </w:r>
      <w:r>
        <w:t xml:space="preserve"> 1995). Madrid et </w:t>
      </w:r>
      <w:proofErr w:type="spellStart"/>
      <w:r w:rsidR="00A265BB">
        <w:t>Diaz-Barrientos</w:t>
      </w:r>
      <w:proofErr w:type="spellEnd"/>
      <w:r w:rsidR="00A265BB">
        <w:t>,</w:t>
      </w:r>
      <w:r>
        <w:t xml:space="preserve"> (1999) dosáhl aplikací různých organických materiálů výrazné mobilizace i imobilizace jednotlivých rizikových prvků. </w:t>
      </w:r>
    </w:p>
    <w:p w:rsidR="004C6C39" w:rsidRDefault="004C6C39" w:rsidP="00A948CA">
      <w:pPr>
        <w:pStyle w:val="Zkladntextodsazen"/>
        <w:tabs>
          <w:tab w:val="num" w:pos="0"/>
        </w:tabs>
        <w:spacing w:line="240" w:lineRule="auto"/>
        <w:ind w:left="0"/>
        <w:jc w:val="both"/>
      </w:pPr>
      <w:r>
        <w:t xml:space="preserve">Vliv struktury půdy na chování rizikových prvků souvisí úzce s obsahem a kvalitou jílových minerálů v půdě a jejich podílem na zrnitostním složení půdy. Vedle zmíněné adsorpce rizikových prvků jílovými minerály existují práce, zabývající se vlivem zrnitostního složení půdy na mobilitu rizikových prvků v půdním prostředí. </w:t>
      </w:r>
      <w:proofErr w:type="spellStart"/>
      <w:r>
        <w:t>Facchinelli</w:t>
      </w:r>
      <w:proofErr w:type="spellEnd"/>
      <w:r>
        <w:t xml:space="preserve"> et al.</w:t>
      </w:r>
      <w:r w:rsidR="005714C7">
        <w:t>,</w:t>
      </w:r>
      <w:r>
        <w:t xml:space="preserve"> (1999) sledoval</w:t>
      </w:r>
      <w:r w:rsidR="006D3882">
        <w:t>i</w:t>
      </w:r>
      <w:r>
        <w:t xml:space="preserve"> rychlost „prostupu“ </w:t>
      </w:r>
      <w:proofErr w:type="spellStart"/>
      <w:r>
        <w:t>Pb</w:t>
      </w:r>
      <w:proofErr w:type="spellEnd"/>
      <w:r>
        <w:t xml:space="preserve">, Cd a </w:t>
      </w:r>
      <w:proofErr w:type="spellStart"/>
      <w:r>
        <w:t>Cr</w:t>
      </w:r>
      <w:proofErr w:type="spellEnd"/>
      <w:r>
        <w:t xml:space="preserve"> půdním profilem a došl</w:t>
      </w:r>
      <w:r w:rsidR="006D3882">
        <w:t>i</w:t>
      </w:r>
      <w:r>
        <w:t xml:space="preserve"> k hodnotě 0,2 – 2 cm v průběhu jednoho roku. Rychlost migrace sledovaných kovů vykázala přímou korelaci s obsahem písku v půdě. Porozita půdy se významně podílela na migraci rizikových prvků. Oproti tomu nepřímá korelace s obsahem organické hmoty dokumentuje proces vazby rizikových prvků na organickou hmotu, a to především ve svrchním horizontu půdního pokryvu.</w:t>
      </w:r>
    </w:p>
    <w:p w:rsidR="004C6C39" w:rsidRDefault="004C6C39" w:rsidP="00A948CA">
      <w:pPr>
        <w:pStyle w:val="Zkladntextodsazen"/>
        <w:tabs>
          <w:tab w:val="num" w:pos="0"/>
        </w:tabs>
        <w:spacing w:line="240" w:lineRule="auto"/>
        <w:ind w:left="0"/>
        <w:jc w:val="both"/>
        <w:rPr>
          <w:b/>
          <w:smallCaps/>
        </w:rPr>
      </w:pPr>
      <w:r>
        <w:t xml:space="preserve">Význam fyzikálně-chemických vlastností půdy na mobilitu rizikových prvků v půdním prostředí je uveden v práci </w:t>
      </w:r>
      <w:proofErr w:type="spellStart"/>
      <w:r>
        <w:t>Grau</w:t>
      </w:r>
      <w:proofErr w:type="spellEnd"/>
      <w:r>
        <w:t xml:space="preserve"> et al.</w:t>
      </w:r>
      <w:r w:rsidR="00A265BB">
        <w:t>,</w:t>
      </w:r>
      <w:r>
        <w:t xml:space="preserve"> </w:t>
      </w:r>
      <w:r w:rsidR="006D3882">
        <w:t>(</w:t>
      </w:r>
      <w:r>
        <w:t>1999), kteří sledovali transfer těžkých kovů z půdy do podzemní vody. Zjistili, že obsah rizikových prvků v podzemní vodě nezávisel pouze na jejich rozpustnosti (obsahu v půdním roztoku), ale že významně koreloval také s množstvím migrujících koloidních částic. Koloidní částice se v tomto procesu uplatňují jako nosiče rizikových prvků a mohou významně přispívat např. ke kontaminaci podzemní vody.</w:t>
      </w:r>
      <w:r>
        <w:rPr>
          <w:b/>
          <w:smallCaps/>
        </w:rPr>
        <w:t xml:space="preserve">    </w:t>
      </w:r>
    </w:p>
    <w:p w:rsidR="004C6C39" w:rsidRDefault="004C6C39" w:rsidP="00A948CA">
      <w:pPr>
        <w:pStyle w:val="Zkladntextodsazen"/>
        <w:tabs>
          <w:tab w:val="num" w:pos="0"/>
          <w:tab w:val="num" w:pos="1026"/>
        </w:tabs>
        <w:spacing w:line="240" w:lineRule="auto"/>
        <w:ind w:left="0"/>
        <w:jc w:val="both"/>
      </w:pPr>
      <w:r>
        <w:t xml:space="preserve">Vliv salinity půdy na chování rizikových prvků souvisí s tvorbou komplexů rizikových prvků s chlorem (tzv. </w:t>
      </w:r>
      <w:proofErr w:type="spellStart"/>
      <w:r>
        <w:t>chlorokomplexů</w:t>
      </w:r>
      <w:proofErr w:type="spellEnd"/>
      <w:r>
        <w:t>) a pohybem těchto komplexů v půdním prostředí. Výskyt půd s vyšší hodnotou salinity je v podmínkách České republiky ojedinělým jevem (Němeček et al.</w:t>
      </w:r>
      <w:r w:rsidR="006D3882">
        <w:t>,</w:t>
      </w:r>
      <w:r>
        <w:t xml:space="preserve"> 1990). Zvýšený obsah soli v půdě však nemusí být dán pouze přirozenou genezí půdy. Příkladem je práce </w:t>
      </w:r>
      <w:proofErr w:type="spellStart"/>
      <w:r>
        <w:t>Martinez</w:t>
      </w:r>
      <w:proofErr w:type="spellEnd"/>
      <w:r>
        <w:t xml:space="preserve"> et al.</w:t>
      </w:r>
      <w:r w:rsidR="00A265BB">
        <w:t>,</w:t>
      </w:r>
      <w:r>
        <w:t xml:space="preserve"> </w:t>
      </w:r>
      <w:r w:rsidR="006D3882">
        <w:t>(</w:t>
      </w:r>
      <w:r>
        <w:t xml:space="preserve">1999), která informuje o druhotné antropogenní degradaci půd úrodné zemědělsky využívané oblasti, aplikací odpadních závlahových vod s vysokým obsahem solí. V těchto půdách byla zjištěna zvýšená mobilita rizikových prvků, zejména Cd a </w:t>
      </w:r>
      <w:proofErr w:type="spellStart"/>
      <w:r>
        <w:t>Pb</w:t>
      </w:r>
      <w:proofErr w:type="spellEnd"/>
      <w:r>
        <w:t xml:space="preserve">, způsobená vazbou Cd a </w:t>
      </w:r>
      <w:proofErr w:type="spellStart"/>
      <w:r>
        <w:t>Pb</w:t>
      </w:r>
      <w:proofErr w:type="spellEnd"/>
      <w:r>
        <w:t xml:space="preserve"> na vysoké obsahy Cl v půdě. </w:t>
      </w:r>
    </w:p>
    <w:p w:rsidR="004C6C39" w:rsidRDefault="004C6C39" w:rsidP="00A948CA">
      <w:pPr>
        <w:pStyle w:val="Zkladntextodsazen"/>
        <w:tabs>
          <w:tab w:val="num" w:pos="0"/>
        </w:tabs>
        <w:spacing w:line="240" w:lineRule="auto"/>
        <w:ind w:left="0"/>
        <w:jc w:val="both"/>
      </w:pPr>
      <w:r>
        <w:t>Z mnoha publikovaných prací vyplývá, že také biotická složka půdy je významným faktorem, ovlivňujícím chování rizikových prvků v půdách. Její působení spočívá v ovlivnění rychlosti rozkladu a mineralizace organické hmoty v půdě (</w:t>
      </w:r>
      <w:proofErr w:type="spellStart"/>
      <w:r>
        <w:t>Hattori</w:t>
      </w:r>
      <w:proofErr w:type="spellEnd"/>
      <w:r>
        <w:t>, 1996). Další prokázanou skutečností je kumulace rizikových prvků v mikrobiální mase (</w:t>
      </w:r>
      <w:proofErr w:type="spellStart"/>
      <w:r>
        <w:t>Kanazawa</w:t>
      </w:r>
      <w:proofErr w:type="spellEnd"/>
      <w:r w:rsidR="00A265BB">
        <w:t xml:space="preserve"> et</w:t>
      </w:r>
      <w:r>
        <w:t xml:space="preserve"> </w:t>
      </w:r>
      <w:proofErr w:type="spellStart"/>
      <w:r>
        <w:t>Mori</w:t>
      </w:r>
      <w:proofErr w:type="spellEnd"/>
      <w:r>
        <w:t xml:space="preserve">, 1996), která je spojená s jejich dočasnou imobilizací v půdním prostředí. </w:t>
      </w:r>
      <w:proofErr w:type="spellStart"/>
      <w:r>
        <w:t>Kanazawa</w:t>
      </w:r>
      <w:proofErr w:type="spellEnd"/>
      <w:r>
        <w:t xml:space="preserve"> a </w:t>
      </w:r>
      <w:proofErr w:type="spellStart"/>
      <w:r>
        <w:t>Mori</w:t>
      </w:r>
      <w:proofErr w:type="spellEnd"/>
      <w:r>
        <w:t xml:space="preserve"> uvádějí vysokou koncentraci Cd v biomase (48mg Cd.g</w:t>
      </w:r>
      <w:r>
        <w:rPr>
          <w:vertAlign w:val="superscript"/>
        </w:rPr>
        <w:t>-1</w:t>
      </w:r>
      <w:r>
        <w:t xml:space="preserve"> biomasy). Doporučují využití </w:t>
      </w:r>
      <w:proofErr w:type="spellStart"/>
      <w:r>
        <w:t>bioakumulace</w:t>
      </w:r>
      <w:proofErr w:type="spellEnd"/>
      <w:r>
        <w:t xml:space="preserve"> Cd k </w:t>
      </w:r>
      <w:proofErr w:type="spellStart"/>
      <w:r>
        <w:t>remediačním</w:t>
      </w:r>
      <w:proofErr w:type="spellEnd"/>
      <w:r>
        <w:t xml:space="preserve"> postupům (bakteriální extrakce), kontaminovaná mikrobiální biomasa může být využita i jako recyklovatelný zdroj Cd. Odumírání a rozklad těl mikroorganismů však vede k opětovnému uvolnění rizikových prvků do půdního prostředí.</w:t>
      </w:r>
    </w:p>
    <w:p w:rsidR="004C6C39" w:rsidRDefault="004C6C39" w:rsidP="00A948CA">
      <w:pPr>
        <w:pStyle w:val="Zkladntextodsazen"/>
        <w:tabs>
          <w:tab w:val="num" w:pos="0"/>
        </w:tabs>
        <w:spacing w:line="240" w:lineRule="auto"/>
        <w:ind w:left="0"/>
        <w:jc w:val="both"/>
      </w:pPr>
      <w:r>
        <w:t>Aktivita mikroorganizmů v některých případech přímo ovlivňuje bio</w:t>
      </w:r>
      <w:r w:rsidR="006D3882">
        <w:t xml:space="preserve">logickou </w:t>
      </w:r>
      <w:r>
        <w:t xml:space="preserve">přístupnost rizikových prvků pro vyšší organizmy. </w:t>
      </w:r>
      <w:r w:rsidR="006D3882">
        <w:t>To potvrzuje</w:t>
      </w:r>
      <w:r>
        <w:t xml:space="preserve"> pr</w:t>
      </w:r>
      <w:r w:rsidR="006D3882">
        <w:t>áce</w:t>
      </w:r>
      <w:r>
        <w:t xml:space="preserve"> kolektivu </w:t>
      </w:r>
      <w:proofErr w:type="spellStart"/>
      <w:r>
        <w:t>Guo</w:t>
      </w:r>
      <w:proofErr w:type="spellEnd"/>
      <w:r>
        <w:t xml:space="preserve"> et al.(1996), kte</w:t>
      </w:r>
      <w:r w:rsidR="006D3882">
        <w:t>ří</w:t>
      </w:r>
      <w:r>
        <w:t xml:space="preserve"> popisuj</w:t>
      </w:r>
      <w:r w:rsidR="006D3882">
        <w:t>í</w:t>
      </w:r>
      <w:r>
        <w:t xml:space="preserve"> vliv </w:t>
      </w:r>
      <w:proofErr w:type="spellStart"/>
      <w:r>
        <w:t>mykorhizálních</w:t>
      </w:r>
      <w:proofErr w:type="spellEnd"/>
      <w:r>
        <w:t xml:space="preserve"> organizmů (</w:t>
      </w:r>
      <w:r w:rsidR="00594789">
        <w:t>hub) u rostliny</w:t>
      </w:r>
      <w:r>
        <w:t xml:space="preserve"> </w:t>
      </w:r>
      <w:proofErr w:type="spellStart"/>
      <w:r>
        <w:rPr>
          <w:i/>
        </w:rPr>
        <w:t>Phaseolus</w:t>
      </w:r>
      <w:proofErr w:type="spellEnd"/>
      <w:r>
        <w:rPr>
          <w:i/>
        </w:rPr>
        <w:t xml:space="preserve"> </w:t>
      </w:r>
      <w:proofErr w:type="spellStart"/>
      <w:r>
        <w:rPr>
          <w:i/>
        </w:rPr>
        <w:t>vulgaris</w:t>
      </w:r>
      <w:proofErr w:type="spellEnd"/>
      <w:r>
        <w:rPr>
          <w:i/>
        </w:rPr>
        <w:t xml:space="preserve"> </w:t>
      </w:r>
      <w:r>
        <w:t xml:space="preserve">na příjem rizikových prvků </w:t>
      </w:r>
      <w:proofErr w:type="spellStart"/>
      <w:r>
        <w:t>Cu</w:t>
      </w:r>
      <w:proofErr w:type="spellEnd"/>
      <w:r>
        <w:t xml:space="preserve">, </w:t>
      </w:r>
      <w:proofErr w:type="spellStart"/>
      <w:r>
        <w:t>Zn</w:t>
      </w:r>
      <w:proofErr w:type="spellEnd"/>
      <w:r>
        <w:t xml:space="preserve"> a Cd rostlinou.  </w:t>
      </w:r>
    </w:p>
    <w:p w:rsidR="004C6C39" w:rsidRDefault="004C6C39" w:rsidP="00A948CA">
      <w:pPr>
        <w:pStyle w:val="Zkladntextodsazen"/>
        <w:tabs>
          <w:tab w:val="num" w:pos="0"/>
        </w:tabs>
        <w:spacing w:line="240" w:lineRule="auto"/>
        <w:ind w:left="0"/>
        <w:jc w:val="both"/>
      </w:pPr>
      <w:r>
        <w:t>Aktuální otázkou je vzájemná interakce rizikových prvků a půdních mikroorganizmů. Ovlivnění aktivity půdních mikroorganizmů zvýšenou koncentrací rizikových prvků v půdě se zpětně odráží na inhibici rozkladu rostlinných zbytků (</w:t>
      </w:r>
      <w:proofErr w:type="spellStart"/>
      <w:r>
        <w:t>Hattori</w:t>
      </w:r>
      <w:proofErr w:type="spellEnd"/>
      <w:r w:rsidR="006D3882">
        <w:t>,</w:t>
      </w:r>
      <w:r>
        <w:t xml:space="preserve"> 1996), a tím pádem dochází ke změnám režimu vazby rizikových prvků na </w:t>
      </w:r>
      <w:r w:rsidR="00A265BB">
        <w:t>organickou hmotu v půdě (</w:t>
      </w:r>
      <w:proofErr w:type="spellStart"/>
      <w:r w:rsidR="00A265BB">
        <w:t>Aoyama</w:t>
      </w:r>
      <w:proofErr w:type="spellEnd"/>
      <w:r w:rsidR="00A265BB">
        <w:t xml:space="preserve"> et</w:t>
      </w:r>
      <w:r>
        <w:t xml:space="preserve"> </w:t>
      </w:r>
      <w:proofErr w:type="spellStart"/>
      <w:r>
        <w:t>Nagumo</w:t>
      </w:r>
      <w:proofErr w:type="spellEnd"/>
      <w:r w:rsidR="00A265BB">
        <w:t>,</w:t>
      </w:r>
      <w:r>
        <w:t xml:space="preserve"> 1997</w:t>
      </w:r>
      <w:r w:rsidR="00A265BB">
        <w:t>;</w:t>
      </w:r>
      <w:r>
        <w:t xml:space="preserve"> </w:t>
      </w:r>
      <w:proofErr w:type="spellStart"/>
      <w:r>
        <w:t>Morin</w:t>
      </w:r>
      <w:proofErr w:type="spellEnd"/>
      <w:r>
        <w:t xml:space="preserve"> et al.</w:t>
      </w:r>
      <w:r w:rsidR="00A265BB">
        <w:t>,</w:t>
      </w:r>
      <w:r>
        <w:t xml:space="preserve"> 1999). Zjištěná odezva mikroorganizmů na kontaminaci rizikovými prvky vedla také k mnoha pokusům o využití mikrobiální aktivity jako indikačního činidla kontaminace (Filip et al.</w:t>
      </w:r>
      <w:r w:rsidR="00A265BB">
        <w:t>,</w:t>
      </w:r>
      <w:r>
        <w:t xml:space="preserve"> 1994</w:t>
      </w:r>
      <w:r w:rsidR="00A265BB">
        <w:t>;</w:t>
      </w:r>
      <w:r>
        <w:t xml:space="preserve"> </w:t>
      </w:r>
      <w:proofErr w:type="spellStart"/>
      <w:r>
        <w:t>Kelly</w:t>
      </w:r>
      <w:proofErr w:type="spellEnd"/>
      <w:r>
        <w:t xml:space="preserve"> </w:t>
      </w:r>
      <w:r w:rsidR="00A265BB">
        <w:t>et</w:t>
      </w:r>
      <w:r>
        <w:t xml:space="preserve"> </w:t>
      </w:r>
      <w:proofErr w:type="spellStart"/>
      <w:r>
        <w:t>Tate</w:t>
      </w:r>
      <w:proofErr w:type="spellEnd"/>
      <w:r w:rsidR="00A265BB">
        <w:t>,</w:t>
      </w:r>
      <w:r>
        <w:t xml:space="preserve"> 1998). Jako problematická se však ukázala být nízká úroveň odezvy mikrobiální aktivity, překrytá odezvou na změnu fyzikálních podmínek (aerace, vodní režim půdy, obsahy </w:t>
      </w:r>
      <w:proofErr w:type="spellStart"/>
      <w:r>
        <w:t>nutrientů</w:t>
      </w:r>
      <w:proofErr w:type="spellEnd"/>
      <w:r>
        <w:t>) a postupná adaptabilita mikroorganizmů na znečištění. Tato zjištění značně komplikují využití mikrobiálních indikátorů (Němeček et al.</w:t>
      </w:r>
      <w:r w:rsidR="006D3882">
        <w:t>,</w:t>
      </w:r>
      <w:r>
        <w:t xml:space="preserve"> 1998).</w:t>
      </w:r>
    </w:p>
    <w:p w:rsidR="004C6C39" w:rsidRDefault="004C6C39" w:rsidP="00A948CA">
      <w:pPr>
        <w:pStyle w:val="Zkladntextodsazen"/>
        <w:tabs>
          <w:tab w:val="num" w:pos="0"/>
        </w:tabs>
        <w:spacing w:line="240" w:lineRule="auto"/>
        <w:ind w:left="0"/>
        <w:jc w:val="both"/>
      </w:pPr>
      <w:r>
        <w:t xml:space="preserve">Vysoká schopnost adaptability mikroorganizmů je zmíněna i v práci </w:t>
      </w:r>
      <w:proofErr w:type="spellStart"/>
      <w:r>
        <w:t>Kanazawy</w:t>
      </w:r>
      <w:proofErr w:type="spellEnd"/>
      <w:r>
        <w:t xml:space="preserve"> a </w:t>
      </w:r>
      <w:proofErr w:type="spellStart"/>
      <w:r>
        <w:t>Moriho</w:t>
      </w:r>
      <w:proofErr w:type="spellEnd"/>
      <w:r>
        <w:t xml:space="preserve"> (1996), kdy autoři </w:t>
      </w:r>
      <w:r w:rsidR="00594789">
        <w:t>identifikovali v půdě</w:t>
      </w:r>
      <w:r>
        <w:t xml:space="preserve"> dlouhodobě silně zatížené vysokým obsahem Cd 14 druhů bakterií rezistentních vůči Cd a z tohoto počtu bylo 6 druhů identifikováno nově, jako bakterie vůči Cd rezistentní.  </w:t>
      </w:r>
    </w:p>
    <w:p w:rsidR="004C6C39" w:rsidRDefault="004C6C39" w:rsidP="00A948CA">
      <w:pPr>
        <w:pStyle w:val="Zkladntextodsazen"/>
        <w:tabs>
          <w:tab w:val="num" w:pos="0"/>
          <w:tab w:val="num" w:pos="1026"/>
        </w:tabs>
        <w:spacing w:line="240" w:lineRule="auto"/>
        <w:ind w:left="0"/>
        <w:jc w:val="both"/>
      </w:pPr>
      <w:r>
        <w:t>Dar</w:t>
      </w:r>
      <w:r w:rsidR="00A265BB">
        <w:t>,</w:t>
      </w:r>
      <w:r>
        <w:t xml:space="preserve"> (1997) uvádí, že senzitivita mikrobiální aktivity na zvýšené obsahy </w:t>
      </w:r>
      <w:proofErr w:type="spellStart"/>
      <w:r>
        <w:t>Pb</w:t>
      </w:r>
      <w:proofErr w:type="spellEnd"/>
      <w:r>
        <w:t xml:space="preserve"> byla vysoká na lehkých písčitých půdách a na půdách těžších byla neprůkazná. Vliv půdního typu na odezvu mikrobiální aktivity na kontaminaci Cd uvádí také Dušek</w:t>
      </w:r>
      <w:r w:rsidR="00A265BB">
        <w:t>,</w:t>
      </w:r>
      <w:r>
        <w:t xml:space="preserve"> (1995). </w:t>
      </w:r>
    </w:p>
    <w:p w:rsidR="004C6C39" w:rsidRDefault="004C6C39" w:rsidP="00A948CA">
      <w:pPr>
        <w:pStyle w:val="Zkladntextodsazen"/>
        <w:tabs>
          <w:tab w:val="num" w:pos="0"/>
        </w:tabs>
        <w:spacing w:line="240" w:lineRule="auto"/>
        <w:ind w:left="0"/>
        <w:jc w:val="both"/>
      </w:pPr>
      <w:r>
        <w:t xml:space="preserve">Uvedené faktory jsou nejvýznamnějšími faktory, působícími na chování rizikových prvků v půdách. Vedle nich se mohou v konkrétních podmínkách </w:t>
      </w:r>
      <w:r w:rsidR="00594789">
        <w:t>uplatňovat i teplota</w:t>
      </w:r>
      <w:r>
        <w:t>, přítomnost konkurenčních iontů (</w:t>
      </w:r>
      <w:proofErr w:type="spellStart"/>
      <w:r>
        <w:t>Juillot</w:t>
      </w:r>
      <w:proofErr w:type="spellEnd"/>
      <w:r>
        <w:t xml:space="preserve"> et al.</w:t>
      </w:r>
      <w:r w:rsidR="00A265BB">
        <w:t>,</w:t>
      </w:r>
      <w:r>
        <w:t xml:space="preserve"> 1999), vzájemné synergické nebo antagonistické vztahy rizikových prvků v půdách (Kozák</w:t>
      </w:r>
      <w:r w:rsidR="00A265BB">
        <w:t xml:space="preserve"> et</w:t>
      </w:r>
      <w:r>
        <w:t xml:space="preserve"> Jehlička</w:t>
      </w:r>
      <w:r w:rsidR="00A265BB">
        <w:t>,</w:t>
      </w:r>
      <w:r>
        <w:t xml:space="preserve"> 1991), </w:t>
      </w:r>
      <w:proofErr w:type="spellStart"/>
      <w:r>
        <w:t>promyvný</w:t>
      </w:r>
      <w:proofErr w:type="spellEnd"/>
      <w:r>
        <w:t xml:space="preserve"> režim půd, různý biotický a vegetační režim i další vlivy.</w:t>
      </w:r>
      <w:r>
        <w:tab/>
      </w:r>
    </w:p>
    <w:p w:rsidR="00594789" w:rsidRDefault="00594789" w:rsidP="00A948CA">
      <w:pPr>
        <w:pStyle w:val="Zkladntextodsazen"/>
        <w:tabs>
          <w:tab w:val="num" w:pos="0"/>
        </w:tabs>
        <w:spacing w:line="240" w:lineRule="auto"/>
        <w:ind w:left="0"/>
        <w:jc w:val="both"/>
      </w:pPr>
      <w:r>
        <w:t xml:space="preserve">V legislativě ČR, která řeší otázku kontaminace půd rizikovými prvky (vyhláška MŽP č. 153/2016 Sb.) je uvedeno 11 sledovaných rizikových prvků (As, </w:t>
      </w:r>
      <w:proofErr w:type="spellStart"/>
      <w:r>
        <w:t>Be</w:t>
      </w:r>
      <w:proofErr w:type="spellEnd"/>
      <w:r>
        <w:t xml:space="preserve">, Cd, Co, </w:t>
      </w:r>
      <w:proofErr w:type="spellStart"/>
      <w:r>
        <w:t>Cr</w:t>
      </w:r>
      <w:proofErr w:type="spellEnd"/>
      <w:r>
        <w:t xml:space="preserve">, </w:t>
      </w:r>
      <w:proofErr w:type="spellStart"/>
      <w:r>
        <w:t>Cu</w:t>
      </w:r>
      <w:proofErr w:type="spellEnd"/>
      <w:r>
        <w:t xml:space="preserve">, </w:t>
      </w:r>
      <w:proofErr w:type="spellStart"/>
      <w:r>
        <w:t>Hg</w:t>
      </w:r>
      <w:proofErr w:type="spellEnd"/>
      <w:r>
        <w:t xml:space="preserve">, Ni, </w:t>
      </w:r>
      <w:proofErr w:type="spellStart"/>
      <w:r>
        <w:t>Pb</w:t>
      </w:r>
      <w:proofErr w:type="spellEnd"/>
      <w:r>
        <w:t xml:space="preserve">, V a </w:t>
      </w:r>
      <w:proofErr w:type="spellStart"/>
      <w:r>
        <w:t>Zn</w:t>
      </w:r>
      <w:proofErr w:type="spellEnd"/>
      <w:r>
        <w:t>).</w:t>
      </w:r>
    </w:p>
    <w:p w:rsidR="008D3094" w:rsidRDefault="008D3094" w:rsidP="00A948CA">
      <w:pPr>
        <w:pStyle w:val="Zkladntextodsazen"/>
        <w:tabs>
          <w:tab w:val="num" w:pos="0"/>
        </w:tabs>
        <w:spacing w:line="240" w:lineRule="auto"/>
        <w:ind w:left="0"/>
        <w:jc w:val="both"/>
      </w:pPr>
      <w:r>
        <w:t xml:space="preserve">Důležitou vlastností, která je rozhodující z hlediska pohybu rizikových prvků v prostředí, je jejich mobilita v půdním prostředí (přechod z pevné půdní matrice do půdního roztoku). Ke stanovení mobility rizikových prvků jsou využívány specifické analytické postupy, lišící se podílem rizikových prvků, které jsou vytěsněny (extrahovány) z půdního vzorku do rozpouštědla (extraktu), ve kterém jsou následně stanoveny. Agresivita extrakčního </w:t>
      </w:r>
      <w:r w:rsidR="001A4652">
        <w:t>činidla</w:t>
      </w:r>
      <w:r>
        <w:t xml:space="preserve"> je z tohoto pohledu rozhodujícím parametrem. Při použití nejsilnějších extrakčních činidel, která jsou schopná rozpustit i krystalické mřížky minerálů (</w:t>
      </w:r>
      <w:proofErr w:type="spellStart"/>
      <w:r>
        <w:t>např</w:t>
      </w:r>
      <w:proofErr w:type="spellEnd"/>
      <w:r>
        <w:t>, rozklad vzorku směsí kyselin</w:t>
      </w:r>
      <w:r w:rsidR="001208C1">
        <w:t>y HF, HNO</w:t>
      </w:r>
      <w:r w:rsidR="001208C1" w:rsidRPr="001208C1">
        <w:rPr>
          <w:vertAlign w:val="subscript"/>
        </w:rPr>
        <w:t>3</w:t>
      </w:r>
      <w:r w:rsidR="001208C1">
        <w:t xml:space="preserve"> a HClO</w:t>
      </w:r>
      <w:r w:rsidR="001208C1" w:rsidRPr="001208C1">
        <w:rPr>
          <w:vertAlign w:val="subscript"/>
        </w:rPr>
        <w:t>4</w:t>
      </w:r>
      <w:r w:rsidR="001208C1">
        <w:t xml:space="preserve">), tak získáme veškerý obsah rizikových prvků, obsažených v půdě a tento obsah označujeme jako celkový (totální). Standardně se dnes používá, a to především z pohledu jednoduššího analytického postupu, rozklad vzorků půdy roztokem lučavky královské, který se celkovému obsahu velmi blíží (udává se jako </w:t>
      </w:r>
      <w:proofErr w:type="spellStart"/>
      <w:r w:rsidR="001208C1">
        <w:t>pseudo</w:t>
      </w:r>
      <w:proofErr w:type="spellEnd"/>
      <w:r w:rsidR="001208C1">
        <w:t xml:space="preserve">-totální obsah). </w:t>
      </w:r>
    </w:p>
    <w:p w:rsidR="001208C1" w:rsidRDefault="001208C1" w:rsidP="00A948CA">
      <w:pPr>
        <w:pStyle w:val="Zkladntextodsazen"/>
        <w:tabs>
          <w:tab w:val="num" w:pos="0"/>
        </w:tabs>
        <w:spacing w:line="240" w:lineRule="auto"/>
        <w:ind w:left="0"/>
        <w:jc w:val="both"/>
      </w:pPr>
      <w:r>
        <w:t xml:space="preserve">Stanovení celkového (totálního, popř. </w:t>
      </w:r>
      <w:proofErr w:type="spellStart"/>
      <w:r>
        <w:t>pseudototálního</w:t>
      </w:r>
      <w:proofErr w:type="spellEnd"/>
      <w:r>
        <w:t>) obsahu rizikových prvků v půdě je podle nových poznatků o chování rizikových prvků v půdách považováno za kvantitativní veličinu, která nemůže postihnout formy výskytu rizikových prvků v půdním prostředí. Ty jsou úzce spojeny s mobilitou a biologickou přístupností prvků.  Nebezpečí, plynoucí z výskytu mobilních forem rizikových prvků v </w:t>
      </w:r>
      <w:proofErr w:type="spellStart"/>
      <w:r>
        <w:t>pedosféře</w:t>
      </w:r>
      <w:proofErr w:type="spellEnd"/>
      <w:r>
        <w:t xml:space="preserve">, lze popsat fyzikálně-chemickými zákony (rovnovážné stavy pevná fáze-půdní roztok) a fyzikálními zákony (transport do podzemní, popř. povrchové vody). Vyjádření procesu transferu rizikových prvků pak podléhá složitějším zákonitostem a dle </w:t>
      </w:r>
      <w:proofErr w:type="spellStart"/>
      <w:r>
        <w:t>Peijneburga</w:t>
      </w:r>
      <w:proofErr w:type="spellEnd"/>
      <w:r>
        <w:t xml:space="preserve"> et al.</w:t>
      </w:r>
      <w:r w:rsidR="00A265BB">
        <w:t>,</w:t>
      </w:r>
      <w:r>
        <w:t xml:space="preserve"> (1998) je biologická přístupnost proces dynamický, který lze vyjádřit </w:t>
      </w:r>
    </w:p>
    <w:p w:rsidR="001208C1" w:rsidRDefault="001208C1" w:rsidP="00A948CA">
      <w:pPr>
        <w:pStyle w:val="Zkladntextodsazen"/>
        <w:numPr>
          <w:ilvl w:val="0"/>
          <w:numId w:val="11"/>
        </w:numPr>
        <w:tabs>
          <w:tab w:val="num" w:pos="1026"/>
        </w:tabs>
        <w:spacing w:line="240" w:lineRule="auto"/>
        <w:jc w:val="both"/>
      </w:pPr>
      <w:r>
        <w:t>fyzikálně-chemicky podmíněnými procesy desorpce a tvorby rozpustných komplexů</w:t>
      </w:r>
    </w:p>
    <w:p w:rsidR="001208C1" w:rsidRDefault="001208C1" w:rsidP="00A948CA">
      <w:pPr>
        <w:pStyle w:val="Zkladntextodsazen"/>
        <w:numPr>
          <w:ilvl w:val="0"/>
          <w:numId w:val="11"/>
        </w:numPr>
        <w:spacing w:line="240" w:lineRule="auto"/>
        <w:jc w:val="both"/>
      </w:pPr>
      <w:r>
        <w:t>fyziologicky podmíněným procesem příjmu prvků</w:t>
      </w:r>
    </w:p>
    <w:p w:rsidR="001208C1" w:rsidRDefault="001208C1" w:rsidP="00A948CA">
      <w:pPr>
        <w:pStyle w:val="Zkladntextodsazen"/>
        <w:tabs>
          <w:tab w:val="num" w:pos="0"/>
        </w:tabs>
        <w:spacing w:line="240" w:lineRule="auto"/>
        <w:ind w:left="0"/>
        <w:jc w:val="both"/>
      </w:pPr>
      <w:r>
        <w:t xml:space="preserve">Z uvedených skutečností vyplývá, že k odhadu nebezpečí vstupu rizikových prvků do dalších médií ekosystému, včetně rostlinné produkce, je nutné uvažovat mobilní </w:t>
      </w:r>
      <w:r w:rsidR="001A4652">
        <w:t>forma</w:t>
      </w:r>
      <w:r>
        <w:t xml:space="preserve"> rizikových prvků.  Podlešáková a Němeček </w:t>
      </w:r>
      <w:r w:rsidR="003E64DD">
        <w:t>doporučují ke</w:t>
      </w:r>
      <w:r>
        <w:t xml:space="preserve"> stanovení mobilních </w:t>
      </w:r>
      <w:r w:rsidR="001A4652">
        <w:t>forem následující</w:t>
      </w:r>
      <w:r>
        <w:t xml:space="preserve"> činidla, používaná na základě </w:t>
      </w:r>
      <w:r w:rsidR="001A4652">
        <w:t>vlastního studia</w:t>
      </w:r>
      <w:r>
        <w:t xml:space="preserve"> mobility rizikových prvků a zahraničních údajů (</w:t>
      </w:r>
      <w:proofErr w:type="spellStart"/>
      <w:r>
        <w:t>Hornburg</w:t>
      </w:r>
      <w:proofErr w:type="spellEnd"/>
      <w:r>
        <w:t xml:space="preserve"> </w:t>
      </w:r>
      <w:r w:rsidR="00E90605">
        <w:t>et</w:t>
      </w:r>
      <w:r>
        <w:t xml:space="preserve"> </w:t>
      </w:r>
      <w:proofErr w:type="spellStart"/>
      <w:r>
        <w:t>Brümmer</w:t>
      </w:r>
      <w:proofErr w:type="spellEnd"/>
      <w:r w:rsidR="00E90605">
        <w:t>,</w:t>
      </w:r>
      <w:r>
        <w:t xml:space="preserve"> 1990)</w:t>
      </w:r>
      <w:r w:rsidR="001A4652">
        <w:t>:</w:t>
      </w:r>
    </w:p>
    <w:p w:rsidR="001208C1" w:rsidRDefault="001A4652" w:rsidP="00A948CA">
      <w:pPr>
        <w:pStyle w:val="Zkladntextodsazen"/>
        <w:numPr>
          <w:ilvl w:val="0"/>
          <w:numId w:val="12"/>
        </w:numPr>
        <w:tabs>
          <w:tab w:val="num" w:pos="1129"/>
        </w:tabs>
        <w:spacing w:line="240" w:lineRule="auto"/>
        <w:jc w:val="both"/>
      </w:pPr>
      <w:r>
        <w:t>K</w:t>
      </w:r>
      <w:r w:rsidR="001208C1">
        <w:t xml:space="preserve">e stanovení mobilních frakcí extrakt </w:t>
      </w:r>
      <w:r w:rsidR="001208C1" w:rsidRPr="001208C1">
        <w:t>1M NH</w:t>
      </w:r>
      <w:r w:rsidR="001208C1" w:rsidRPr="001208C1">
        <w:rPr>
          <w:vertAlign w:val="subscript"/>
        </w:rPr>
        <w:t>4</w:t>
      </w:r>
      <w:r w:rsidR="001208C1" w:rsidRPr="001208C1">
        <w:t>NO</w:t>
      </w:r>
      <w:r w:rsidR="001208C1" w:rsidRPr="001208C1">
        <w:rPr>
          <w:vertAlign w:val="subscript"/>
        </w:rPr>
        <w:t>3</w:t>
      </w:r>
      <w:r w:rsidR="001208C1">
        <w:rPr>
          <w:vertAlign w:val="subscript"/>
        </w:rPr>
        <w:t xml:space="preserve"> </w:t>
      </w:r>
      <w:r w:rsidR="001208C1">
        <w:t xml:space="preserve">, extrakt </w:t>
      </w:r>
      <w:r w:rsidR="001208C1" w:rsidRPr="001208C1">
        <w:t>0,01M CaCl</w:t>
      </w:r>
      <w:r w:rsidR="001208C1" w:rsidRPr="001208C1">
        <w:rPr>
          <w:vertAlign w:val="subscript"/>
        </w:rPr>
        <w:t>2</w:t>
      </w:r>
      <w:r w:rsidR="003E64DD">
        <w:rPr>
          <w:vertAlign w:val="subscript"/>
        </w:rPr>
        <w:t xml:space="preserve">, </w:t>
      </w:r>
      <w:r w:rsidR="003E64DD">
        <w:t>v současné době se více používá i 0,33M kyselina dusičná</w:t>
      </w:r>
    </w:p>
    <w:p w:rsidR="001208C1" w:rsidRDefault="001208C1" w:rsidP="00A948CA">
      <w:pPr>
        <w:pStyle w:val="Zkladntextodsazen"/>
        <w:numPr>
          <w:ilvl w:val="0"/>
          <w:numId w:val="12"/>
        </w:numPr>
        <w:tabs>
          <w:tab w:val="num" w:pos="1129"/>
        </w:tabs>
        <w:spacing w:line="240" w:lineRule="auto"/>
        <w:jc w:val="both"/>
      </w:pPr>
      <w:r>
        <w:t xml:space="preserve">ke stanovení potenciálně mobilizovatelného podílu extrakt </w:t>
      </w:r>
      <w:r w:rsidRPr="001208C1">
        <w:t>0,025M Na</w:t>
      </w:r>
      <w:r w:rsidRPr="001208C1">
        <w:rPr>
          <w:vertAlign w:val="subscript"/>
        </w:rPr>
        <w:t>2</w:t>
      </w:r>
      <w:r w:rsidRPr="001208C1">
        <w:t>EDTA</w:t>
      </w:r>
      <w:r w:rsidR="001A4652">
        <w:t>.</w:t>
      </w:r>
      <w:r>
        <w:rPr>
          <w:vertAlign w:val="subscript"/>
        </w:rPr>
        <w:t xml:space="preserve"> </w:t>
      </w:r>
    </w:p>
    <w:p w:rsidR="001208C1" w:rsidRDefault="001208C1" w:rsidP="00A948CA">
      <w:pPr>
        <w:pStyle w:val="Zkladntextodsazen"/>
        <w:tabs>
          <w:tab w:val="num" w:pos="0"/>
          <w:tab w:val="num" w:pos="1129"/>
        </w:tabs>
        <w:spacing w:line="240" w:lineRule="auto"/>
        <w:ind w:left="0"/>
        <w:jc w:val="both"/>
      </w:pPr>
      <w:r>
        <w:rPr>
          <w:vertAlign w:val="subscript"/>
        </w:rPr>
        <w:t xml:space="preserve">  </w:t>
      </w:r>
      <w:r>
        <w:t xml:space="preserve">K dispozici jsou i další práce, které popisují využití „slabých“ extrakčních činidel ke </w:t>
      </w:r>
      <w:proofErr w:type="spellStart"/>
      <w:r>
        <w:t>speciaci</w:t>
      </w:r>
      <w:proofErr w:type="spellEnd"/>
      <w:r>
        <w:t xml:space="preserve"> rizikových prvků (</w:t>
      </w:r>
      <w:proofErr w:type="spellStart"/>
      <w:r>
        <w:t>Thöming</w:t>
      </w:r>
      <w:proofErr w:type="spellEnd"/>
      <w:r w:rsidR="00E90605">
        <w:t xml:space="preserve"> et </w:t>
      </w:r>
      <w:proofErr w:type="spellStart"/>
      <w:r w:rsidR="00E90605">
        <w:t>Calmano</w:t>
      </w:r>
      <w:proofErr w:type="spellEnd"/>
      <w:r w:rsidR="00E90605">
        <w:t>,</w:t>
      </w:r>
      <w:r>
        <w:t xml:space="preserve"> 1999</w:t>
      </w:r>
      <w:r w:rsidR="003E64DD">
        <w:t>)</w:t>
      </w:r>
      <w:r>
        <w:t xml:space="preserve"> vztažených nejenom k jejich mobilitě, ale i biologické přístupnosti.</w:t>
      </w:r>
    </w:p>
    <w:p w:rsidR="001208C1" w:rsidRDefault="001208C1" w:rsidP="00A948CA">
      <w:pPr>
        <w:pStyle w:val="Zkladntextodsazen"/>
        <w:tabs>
          <w:tab w:val="num" w:pos="0"/>
        </w:tabs>
        <w:spacing w:line="240" w:lineRule="auto"/>
        <w:ind w:left="0"/>
        <w:jc w:val="both"/>
      </w:pPr>
      <w:r>
        <w:t>Podlešáková et al.</w:t>
      </w:r>
      <w:r w:rsidR="003E64DD">
        <w:t>,</w:t>
      </w:r>
      <w:r>
        <w:t xml:space="preserve"> (</w:t>
      </w:r>
      <w:r w:rsidR="00E90605">
        <w:t>2001</w:t>
      </w:r>
      <w:r>
        <w:t>) rozdělují rizikové prvky na základě studia jejich mobility a transferu do rostlin do 3 skupin</w:t>
      </w:r>
      <w:r w:rsidR="001A4652">
        <w:t>:</w:t>
      </w:r>
    </w:p>
    <w:p w:rsidR="001208C1" w:rsidRDefault="001A4652" w:rsidP="00A948CA">
      <w:pPr>
        <w:pStyle w:val="Zkladntextodsazen"/>
        <w:numPr>
          <w:ilvl w:val="0"/>
          <w:numId w:val="14"/>
        </w:numPr>
        <w:tabs>
          <w:tab w:val="num" w:pos="846"/>
        </w:tabs>
        <w:spacing w:line="240" w:lineRule="auto"/>
        <w:jc w:val="both"/>
      </w:pPr>
      <w:r>
        <w:t>P</w:t>
      </w:r>
      <w:r w:rsidR="001208C1">
        <w:t xml:space="preserve">rvky s vysokou mobilitou a závislostí na pH a vysokým transferem do rostlin, kam byly zařazeny </w:t>
      </w:r>
      <w:proofErr w:type="spellStart"/>
      <w:r w:rsidR="001208C1" w:rsidRPr="001208C1">
        <w:t>Mn</w:t>
      </w:r>
      <w:proofErr w:type="spellEnd"/>
      <w:r w:rsidR="001208C1" w:rsidRPr="001208C1">
        <w:t xml:space="preserve">, Cd, Co, </w:t>
      </w:r>
      <w:proofErr w:type="spellStart"/>
      <w:r w:rsidR="001208C1" w:rsidRPr="001208C1">
        <w:t>Zn</w:t>
      </w:r>
      <w:proofErr w:type="spellEnd"/>
      <w:r w:rsidR="001208C1" w:rsidRPr="001208C1">
        <w:t>, Ni</w:t>
      </w:r>
      <w:r>
        <w:t>,</w:t>
      </w:r>
    </w:p>
    <w:p w:rsidR="001208C1" w:rsidRDefault="001208C1" w:rsidP="00A948CA">
      <w:pPr>
        <w:pStyle w:val="Zkladntextodsazen"/>
        <w:numPr>
          <w:ilvl w:val="0"/>
          <w:numId w:val="14"/>
        </w:numPr>
        <w:tabs>
          <w:tab w:val="num" w:pos="846"/>
        </w:tabs>
        <w:spacing w:line="240" w:lineRule="auto"/>
        <w:jc w:val="both"/>
      </w:pPr>
      <w:r>
        <w:t xml:space="preserve">prvky s vysokou potenciální mobilitou </w:t>
      </w:r>
      <w:proofErr w:type="spellStart"/>
      <w:r w:rsidRPr="001208C1">
        <w:t>Pb</w:t>
      </w:r>
      <w:proofErr w:type="spellEnd"/>
      <w:r>
        <w:rPr>
          <w:b/>
        </w:rPr>
        <w:t xml:space="preserve"> </w:t>
      </w:r>
      <w:r>
        <w:t>a</w:t>
      </w:r>
      <w:r>
        <w:rPr>
          <w:b/>
        </w:rPr>
        <w:t xml:space="preserve"> </w:t>
      </w:r>
      <w:proofErr w:type="spellStart"/>
      <w:r w:rsidRPr="001208C1">
        <w:t>Cu</w:t>
      </w:r>
      <w:proofErr w:type="spellEnd"/>
      <w:r w:rsidR="001A4652">
        <w:t>,</w:t>
      </w:r>
    </w:p>
    <w:p w:rsidR="001208C1" w:rsidRPr="001208C1" w:rsidRDefault="001208C1" w:rsidP="00A948CA">
      <w:pPr>
        <w:pStyle w:val="Zkladntextodsazen"/>
        <w:numPr>
          <w:ilvl w:val="0"/>
          <w:numId w:val="14"/>
        </w:numPr>
        <w:tabs>
          <w:tab w:val="num" w:pos="846"/>
        </w:tabs>
        <w:spacing w:line="240" w:lineRule="auto"/>
        <w:jc w:val="both"/>
      </w:pPr>
      <w:r>
        <w:t xml:space="preserve">prvky s nízkou mobilitou i nízkou potenciální mobilitou a nízkým transferem do rostlin </w:t>
      </w:r>
      <w:proofErr w:type="spellStart"/>
      <w:proofErr w:type="gramStart"/>
      <w:r w:rsidRPr="001208C1">
        <w:t>Be</w:t>
      </w:r>
      <w:proofErr w:type="spellEnd"/>
      <w:r w:rsidRPr="001208C1">
        <w:t xml:space="preserve">, </w:t>
      </w:r>
      <w:r w:rsidR="001A4652">
        <w:t xml:space="preserve"> </w:t>
      </w:r>
      <w:r w:rsidRPr="001208C1">
        <w:t>As</w:t>
      </w:r>
      <w:proofErr w:type="gramEnd"/>
      <w:r w:rsidRPr="001208C1">
        <w:t xml:space="preserve">, </w:t>
      </w:r>
      <w:proofErr w:type="spellStart"/>
      <w:r w:rsidRPr="001208C1">
        <w:t>Cr</w:t>
      </w:r>
      <w:proofErr w:type="spellEnd"/>
      <w:r w:rsidRPr="001208C1">
        <w:t>, V</w:t>
      </w:r>
      <w:r w:rsidR="001A4652">
        <w:t>.</w:t>
      </w:r>
    </w:p>
    <w:p w:rsidR="001208C1" w:rsidRDefault="001208C1" w:rsidP="00A948CA">
      <w:pPr>
        <w:pStyle w:val="Zkladntextodsazen"/>
        <w:tabs>
          <w:tab w:val="num" w:pos="0"/>
        </w:tabs>
        <w:spacing w:line="240" w:lineRule="auto"/>
        <w:ind w:left="0"/>
        <w:jc w:val="both"/>
      </w:pPr>
      <w:r>
        <w:t xml:space="preserve">Vyjádření biologické přístupnosti rizikových prvků pro rostliny je komplikováno faktorem vlastního procesu regulace příjmu rizikového prvku rostlinou, vytvoření univerzálního postupu je proto iluzí. Mnozí autoři naznačují směry řešení, např. </w:t>
      </w:r>
      <w:proofErr w:type="spellStart"/>
      <w:r>
        <w:t>Hornburg</w:t>
      </w:r>
      <w:proofErr w:type="spellEnd"/>
      <w:r>
        <w:t xml:space="preserve"> </w:t>
      </w:r>
      <w:r w:rsidR="00E90605">
        <w:t>et</w:t>
      </w:r>
      <w:r>
        <w:t xml:space="preserve"> </w:t>
      </w:r>
      <w:proofErr w:type="spellStart"/>
      <w:r>
        <w:t>Brümmer</w:t>
      </w:r>
      <w:proofErr w:type="spellEnd"/>
      <w:r w:rsidR="003E64DD">
        <w:t>,</w:t>
      </w:r>
      <w:r>
        <w:t xml:space="preserve"> (1990) dosa</w:t>
      </w:r>
      <w:r w:rsidR="003E64DD">
        <w:t>dili</w:t>
      </w:r>
      <w:r>
        <w:t xml:space="preserve"> do rovnice, odvozené vícenásobnou regresní analýzou, hodnoty celkových obsahů, popř. mobilních forem hodnoty pH půdy, s platností pro omezený výběr prvků a rostlin.</w:t>
      </w:r>
    </w:p>
    <w:p w:rsidR="001208C1" w:rsidRDefault="001208C1" w:rsidP="00A948CA">
      <w:pPr>
        <w:pStyle w:val="Zkladntextodsazen"/>
        <w:tabs>
          <w:tab w:val="num" w:pos="0"/>
        </w:tabs>
        <w:spacing w:line="240" w:lineRule="auto"/>
        <w:ind w:left="0"/>
        <w:jc w:val="both"/>
      </w:pPr>
      <w:r>
        <w:t xml:space="preserve">Z dřívějších prací VÚMOP je patrné, že mobilita prvků, vyjádřená mobilní formou, může být v různé korelaci s jejich transferem do rostlin, např. příjem </w:t>
      </w:r>
      <w:proofErr w:type="spellStart"/>
      <w:r>
        <w:t>Cu</w:t>
      </w:r>
      <w:proofErr w:type="spellEnd"/>
      <w:r>
        <w:t xml:space="preserve"> rostlinou je významný i při její nižší mobilitě, naopak Ni je charakterizován i při poměrně vysoké mobilitě (s vysokou závislostí mobilních forem na pH půdy) nízkým transferem do rostlin. Statistické vyjádření složitých vztahů faktorovou analýzou a vícenásobnou regresí umožnilo vypracování predikčních rovnic příjmu rizikových prvků rostlinami. Predikční rovnice, využívající mobilní formy i odvozené nepřímé faktory mobility (</w:t>
      </w:r>
      <w:proofErr w:type="spellStart"/>
      <w:r>
        <w:t>ph</w:t>
      </w:r>
      <w:proofErr w:type="spellEnd"/>
      <w:r>
        <w:t>, jíl, humus) jsou modifikované při různých podmínkách pro jednotlivé rizikové prvky. Při jejich použití byla všeobecně vyjádřena potenciální nebezpečnost jednotlivých rizikových prvků (např. vysoká rizikovost Cd) v půdě, vzhledem k transferu do rostlin.</w:t>
      </w:r>
    </w:p>
    <w:p w:rsidR="001208C1" w:rsidRDefault="001208C1" w:rsidP="00A948CA">
      <w:pPr>
        <w:pStyle w:val="Zkladntextodsazen"/>
        <w:tabs>
          <w:tab w:val="num" w:pos="0"/>
        </w:tabs>
        <w:spacing w:line="240" w:lineRule="auto"/>
        <w:ind w:left="0"/>
        <w:jc w:val="both"/>
      </w:pPr>
      <w:r>
        <w:t xml:space="preserve">Při sledování biologické přístupnosti rizikových prvků pro rostliny je nezbytné odlišit vstupy do rostlin transferovou cestou </w:t>
      </w:r>
    </w:p>
    <w:p w:rsidR="001208C1" w:rsidRDefault="001208C1" w:rsidP="00A948CA">
      <w:pPr>
        <w:pStyle w:val="Zkladntextodsazen"/>
        <w:numPr>
          <w:ilvl w:val="0"/>
          <w:numId w:val="13"/>
        </w:numPr>
        <w:spacing w:line="240" w:lineRule="auto"/>
        <w:jc w:val="both"/>
      </w:pPr>
      <w:r>
        <w:t>půdní roztok-</w:t>
      </w:r>
      <w:proofErr w:type="spellStart"/>
      <w:r>
        <w:t>rhizosférní</w:t>
      </w:r>
      <w:proofErr w:type="spellEnd"/>
      <w:r>
        <w:t xml:space="preserve"> </w:t>
      </w:r>
      <w:proofErr w:type="spellStart"/>
      <w:r>
        <w:t>prostředí-kořen-nadzemní</w:t>
      </w:r>
      <w:proofErr w:type="spellEnd"/>
      <w:r>
        <w:t xml:space="preserve"> část</w:t>
      </w:r>
    </w:p>
    <w:p w:rsidR="001208C1" w:rsidRDefault="001208C1" w:rsidP="00A948CA">
      <w:pPr>
        <w:pStyle w:val="Zkladntextodsazen"/>
        <w:numPr>
          <w:ilvl w:val="0"/>
          <w:numId w:val="13"/>
        </w:numPr>
        <w:spacing w:line="240" w:lineRule="auto"/>
        <w:jc w:val="both"/>
        <w:rPr>
          <w:b/>
        </w:rPr>
      </w:pPr>
      <w:r>
        <w:t xml:space="preserve">mimokořenový, </w:t>
      </w:r>
      <w:proofErr w:type="spellStart"/>
      <w:r>
        <w:t>foliární</w:t>
      </w:r>
      <w:proofErr w:type="spellEnd"/>
      <w:r>
        <w:t xml:space="preserve"> vstup rizikových prvků do rostlin, ovlivněný nejvíce suchou a mokrou depozicí, prašností půdy, aplikací agrochemikálií a další povrchovou kontaminací nadzemní části rostlin</w:t>
      </w:r>
    </w:p>
    <w:p w:rsidR="001208C1" w:rsidRDefault="001208C1" w:rsidP="00A948CA">
      <w:pPr>
        <w:pStyle w:val="Zkladntextodsazen"/>
        <w:tabs>
          <w:tab w:val="num" w:pos="0"/>
        </w:tabs>
        <w:spacing w:line="240" w:lineRule="auto"/>
        <w:ind w:left="0"/>
        <w:jc w:val="both"/>
      </w:pPr>
      <w:r>
        <w:t>Z výše uvedených názorů na bio</w:t>
      </w:r>
      <w:r w:rsidR="00013EFA">
        <w:t xml:space="preserve">logickou </w:t>
      </w:r>
      <w:r>
        <w:t xml:space="preserve">přístupnost rizikových </w:t>
      </w:r>
      <w:r w:rsidR="001A4652">
        <w:t>prvků pro</w:t>
      </w:r>
      <w:r>
        <w:t xml:space="preserve"> rostliny je zřejmé, že v procesu příjmu prvků rostlinou se uplatňuje mechanizmus přechodu rizikových prvků z pevné fáze do půdního roztoku a mechanizmus vlastního příjmu rizikových prvků rostlinou, prostřednictvím kořenového systému, do jehož blízkosti </w:t>
      </w:r>
      <w:r w:rsidR="001A4652">
        <w:t>jsou prvky</w:t>
      </w:r>
      <w:r>
        <w:t xml:space="preserve"> transportovány difuzí.  </w:t>
      </w:r>
    </w:p>
    <w:p w:rsidR="001208C1" w:rsidRDefault="00013EFA" w:rsidP="00A948CA">
      <w:pPr>
        <w:pStyle w:val="Zkladntextodsazen"/>
        <w:tabs>
          <w:tab w:val="num" w:pos="0"/>
        </w:tabs>
        <w:spacing w:line="240" w:lineRule="auto"/>
        <w:ind w:left="0"/>
        <w:jc w:val="both"/>
      </w:pPr>
      <w:r>
        <w:t xml:space="preserve"> </w:t>
      </w:r>
      <w:r w:rsidR="001208C1">
        <w:t>Vlastní působení rostlin se začíná uplatňovat v </w:t>
      </w:r>
      <w:proofErr w:type="spellStart"/>
      <w:r w:rsidR="001208C1">
        <w:t>rhizosférní</w:t>
      </w:r>
      <w:proofErr w:type="spellEnd"/>
      <w:r w:rsidR="001208C1">
        <w:t xml:space="preserve"> oblasti změnou pH prostředí, způsobenou kořenovými </w:t>
      </w:r>
      <w:proofErr w:type="spellStart"/>
      <w:r w:rsidR="001208C1">
        <w:t>exudáty</w:t>
      </w:r>
      <w:proofErr w:type="spellEnd"/>
      <w:r w:rsidR="001208C1">
        <w:t xml:space="preserve">. Působením organických </w:t>
      </w:r>
      <w:r>
        <w:t>kyselin může</w:t>
      </w:r>
      <w:r w:rsidR="001208C1">
        <w:t xml:space="preserve"> dojít k dočasnému zvýšení mobility a bio</w:t>
      </w:r>
      <w:r>
        <w:t xml:space="preserve">logické </w:t>
      </w:r>
      <w:r w:rsidR="001208C1">
        <w:t xml:space="preserve">přístupnosti rizikových prvků. </w:t>
      </w:r>
      <w:proofErr w:type="spellStart"/>
      <w:r w:rsidR="001208C1">
        <w:t>Krishnamurti</w:t>
      </w:r>
      <w:proofErr w:type="spellEnd"/>
      <w:r w:rsidR="001208C1">
        <w:t xml:space="preserve"> et al.</w:t>
      </w:r>
      <w:r w:rsidR="00E90605">
        <w:t>,</w:t>
      </w:r>
      <w:r w:rsidR="001208C1">
        <w:t xml:space="preserve"> (1997) zjistil</w:t>
      </w:r>
      <w:r>
        <w:t>i</w:t>
      </w:r>
      <w:r w:rsidR="001208C1">
        <w:t xml:space="preserve">, že organické kyseliny, obsažené v kořenových </w:t>
      </w:r>
      <w:proofErr w:type="spellStart"/>
      <w:r w:rsidR="001208C1">
        <w:t>exudátech</w:t>
      </w:r>
      <w:proofErr w:type="spellEnd"/>
      <w:r w:rsidR="001208C1">
        <w:t>, zvyšovaly bio</w:t>
      </w:r>
      <w:r>
        <w:t xml:space="preserve">logickou </w:t>
      </w:r>
      <w:r w:rsidR="001208C1">
        <w:t xml:space="preserve">přístupnost Cd v průběhu 2 hodin po jejich přidání do půdy, následně však byly rozloženy mikrobiální aktivitou a Cd bylo zpětně vázáno na negativně nabité půdní částice. </w:t>
      </w:r>
    </w:p>
    <w:p w:rsidR="001208C1" w:rsidRDefault="001208C1" w:rsidP="00A948CA">
      <w:pPr>
        <w:pStyle w:val="Zkladntextodsazen"/>
        <w:tabs>
          <w:tab w:val="num" w:pos="0"/>
        </w:tabs>
        <w:spacing w:line="240" w:lineRule="auto"/>
        <w:ind w:left="0"/>
        <w:jc w:val="both"/>
      </w:pPr>
      <w:r>
        <w:t>Lorenz et al.</w:t>
      </w:r>
      <w:r w:rsidR="00101E28">
        <w:t>,</w:t>
      </w:r>
      <w:r>
        <w:t xml:space="preserve"> (1997) uvádí, že koncentrace Cd v půdním roztoku, získaného v oblasti rhizosféry, korelovala lépe s obsahem Cd v rostlině, než obsah Cd v půdním roztoku mimo oblast rhizosféry. U </w:t>
      </w:r>
      <w:proofErr w:type="spellStart"/>
      <w:r>
        <w:t>Zn</w:t>
      </w:r>
      <w:proofErr w:type="spellEnd"/>
      <w:r>
        <w:t xml:space="preserve"> však </w:t>
      </w:r>
      <w:proofErr w:type="spellStart"/>
      <w:r>
        <w:t>tatu</w:t>
      </w:r>
      <w:proofErr w:type="spellEnd"/>
      <w:r>
        <w:t xml:space="preserve"> závislost neprokázali. </w:t>
      </w:r>
    </w:p>
    <w:p w:rsidR="00013EFA" w:rsidRDefault="00013EFA" w:rsidP="00A948CA">
      <w:pPr>
        <w:pStyle w:val="Zkladntextodsazen"/>
        <w:tabs>
          <w:tab w:val="num" w:pos="0"/>
        </w:tabs>
        <w:spacing w:line="240" w:lineRule="auto"/>
        <w:ind w:left="0"/>
        <w:jc w:val="both"/>
      </w:pPr>
      <w:r>
        <w:t>Youssef et al.</w:t>
      </w:r>
      <w:r w:rsidR="00101E28">
        <w:t>,</w:t>
      </w:r>
      <w:r>
        <w:t xml:space="preserve"> (1999) ve své práci o vlivu Ni na distribuci </w:t>
      </w:r>
      <w:proofErr w:type="spellStart"/>
      <w:r>
        <w:t>Cu</w:t>
      </w:r>
      <w:proofErr w:type="spellEnd"/>
      <w:r>
        <w:t xml:space="preserve"> a </w:t>
      </w:r>
      <w:proofErr w:type="spellStart"/>
      <w:r>
        <w:t>Zn</w:t>
      </w:r>
      <w:proofErr w:type="spellEnd"/>
      <w:r>
        <w:t xml:space="preserve"> v </w:t>
      </w:r>
      <w:proofErr w:type="spellStart"/>
      <w:r>
        <w:t>rhizosférním</w:t>
      </w:r>
      <w:proofErr w:type="spellEnd"/>
      <w:r>
        <w:t xml:space="preserve"> prostředí došel k závěru, že příjem </w:t>
      </w:r>
      <w:proofErr w:type="spellStart"/>
      <w:r>
        <w:t>Cu</w:t>
      </w:r>
      <w:proofErr w:type="spellEnd"/>
      <w:r>
        <w:t xml:space="preserve"> a </w:t>
      </w:r>
      <w:proofErr w:type="spellStart"/>
      <w:r>
        <w:t>Zn</w:t>
      </w:r>
      <w:proofErr w:type="spellEnd"/>
      <w:r>
        <w:t xml:space="preserve"> rostlinou vykazuje vysokou korelaci s obsahem těchto prvků v rhizosféře.  </w:t>
      </w:r>
    </w:p>
    <w:p w:rsidR="00013EFA" w:rsidRDefault="00013EFA" w:rsidP="00A948CA">
      <w:pPr>
        <w:pStyle w:val="Zkladntextodsazen"/>
        <w:tabs>
          <w:tab w:val="num" w:pos="0"/>
        </w:tabs>
        <w:spacing w:line="240" w:lineRule="auto"/>
        <w:ind w:left="0"/>
        <w:jc w:val="both"/>
      </w:pPr>
      <w:r>
        <w:t xml:space="preserve">V oblasti rhizosféry dále dochází ke slučování rizikových prvků s organickými látkami prostřednictvím chelátových vazeb, v případě </w:t>
      </w:r>
      <w:proofErr w:type="spellStart"/>
      <w:r>
        <w:t>mykorhizálních</w:t>
      </w:r>
      <w:proofErr w:type="spellEnd"/>
      <w:r>
        <w:t xml:space="preserve"> rostlin ovlivňuje bio</w:t>
      </w:r>
      <w:r w:rsidR="003E64DD">
        <w:t xml:space="preserve">logickou </w:t>
      </w:r>
      <w:r>
        <w:t>přístupnost prvků i aktivita symbiotických mikroorganizmů (</w:t>
      </w:r>
      <w:proofErr w:type="spellStart"/>
      <w:r>
        <w:t>Guo</w:t>
      </w:r>
      <w:proofErr w:type="spellEnd"/>
      <w:r>
        <w:t xml:space="preserve"> et al.</w:t>
      </w:r>
      <w:r w:rsidR="00101E28">
        <w:t>,</w:t>
      </w:r>
      <w:r>
        <w:t xml:space="preserve"> 1996</w:t>
      </w:r>
      <w:r w:rsidR="00101E28">
        <w:t xml:space="preserve">; </w:t>
      </w:r>
      <w:proofErr w:type="spellStart"/>
      <w:r w:rsidR="00101E28">
        <w:t>Helal</w:t>
      </w:r>
      <w:proofErr w:type="spellEnd"/>
      <w:r w:rsidR="00101E28">
        <w:t xml:space="preserve"> et</w:t>
      </w:r>
      <w:r>
        <w:t xml:space="preserve"> Issa</w:t>
      </w:r>
      <w:r w:rsidR="00101E28">
        <w:t>,</w:t>
      </w:r>
      <w:r>
        <w:t xml:space="preserve"> 1999).</w:t>
      </w:r>
    </w:p>
    <w:p w:rsidR="00013EFA" w:rsidRDefault="00013EFA" w:rsidP="00A948CA">
      <w:pPr>
        <w:pStyle w:val="Zkladntextodsazen"/>
        <w:tabs>
          <w:tab w:val="num" w:pos="0"/>
        </w:tabs>
        <w:spacing w:line="240" w:lineRule="auto"/>
        <w:ind w:left="0"/>
        <w:jc w:val="both"/>
      </w:pPr>
      <w:r>
        <w:t>Na příjmu prvků kořenovým systémem se podílí nejvíce kořenové vlášení svojí sorpční plochou a metabolicky vysoce aktivními buňkami (Šebánek et al.</w:t>
      </w:r>
      <w:r w:rsidR="00101E28">
        <w:t>,</w:t>
      </w:r>
      <w:r>
        <w:t xml:space="preserve"> 1983). Příjem naprosté většiny elementů kořeny rostlin probíhá jako aktivní nebo pasivní proces. Aktivní mechanizmus je výsledkem fyzikálně-chemických reakcí mezi půdní matricí, půdním roztokem a kořeny rostlin. Pasivní příjem je způsoben iontovou výměnou na povrchu kořenů (</w:t>
      </w:r>
      <w:proofErr w:type="spellStart"/>
      <w:r>
        <w:t>Dufey</w:t>
      </w:r>
      <w:proofErr w:type="spellEnd"/>
      <w:r>
        <w:t xml:space="preserve"> et al</w:t>
      </w:r>
      <w:r w:rsidR="00101E28">
        <w:t>.,</w:t>
      </w:r>
      <w:r>
        <w:t xml:space="preserve"> 1999).  Vlastní pronikání prvků do rostliny je potom specifické a dané často synergickými a antagonistickými vztahy iontů v půdním roztoku, např. </w:t>
      </w:r>
      <w:proofErr w:type="spellStart"/>
      <w:r>
        <w:t>Tlusto</w:t>
      </w:r>
      <w:r w:rsidR="00101E28">
        <w:t>š</w:t>
      </w:r>
      <w:proofErr w:type="spellEnd"/>
      <w:r>
        <w:t xml:space="preserve"> et al.</w:t>
      </w:r>
      <w:r w:rsidR="00101E28">
        <w:t>,</w:t>
      </w:r>
      <w:r>
        <w:t xml:space="preserve"> (1999) udáv</w:t>
      </w:r>
      <w:r w:rsidR="003E64DD">
        <w:t>ají</w:t>
      </w:r>
      <w:r>
        <w:t>, že forma dusíku v živném roztoku (NH</w:t>
      </w:r>
      <w:r>
        <w:rPr>
          <w:vertAlign w:val="subscript"/>
        </w:rPr>
        <w:t>4</w:t>
      </w:r>
      <w:r>
        <w:t>-N, NO</w:t>
      </w:r>
      <w:r>
        <w:rPr>
          <w:vertAlign w:val="subscript"/>
        </w:rPr>
        <w:t>3</w:t>
      </w:r>
      <w:r>
        <w:t xml:space="preserve">-N) může ovlivnit koncentraci Cd v rostlinné hmotě. </w:t>
      </w:r>
    </w:p>
    <w:p w:rsidR="00013EFA" w:rsidRDefault="00013EFA" w:rsidP="00A948CA">
      <w:pPr>
        <w:pStyle w:val="Zkladntextodsazen"/>
        <w:tabs>
          <w:tab w:val="num" w:pos="0"/>
        </w:tabs>
        <w:spacing w:line="240" w:lineRule="auto"/>
        <w:ind w:left="0"/>
        <w:jc w:val="both"/>
      </w:pPr>
      <w:r>
        <w:t>V práci Cibulky et al.</w:t>
      </w:r>
      <w:r w:rsidR="00D7414E">
        <w:t>,</w:t>
      </w:r>
      <w:r>
        <w:t xml:space="preserve"> (1991) je popsán mechanizmus příjmu Cd kořeny ječmene. Na něm se podílí výměnná adsorpce spojená s pronikáním Cd do </w:t>
      </w:r>
      <w:proofErr w:type="spellStart"/>
      <w:r>
        <w:t>Donnanova</w:t>
      </w:r>
      <w:proofErr w:type="spellEnd"/>
      <w:r>
        <w:t xml:space="preserve"> volného prostoru s následnou vazbou Cd na zbytky střední lamely buněčných stěn, které jsou pektinové povahy (</w:t>
      </w:r>
      <w:proofErr w:type="spellStart"/>
      <w:r>
        <w:t>Wolterbeek</w:t>
      </w:r>
      <w:proofErr w:type="spellEnd"/>
      <w:r w:rsidR="00D7414E">
        <w:t>,</w:t>
      </w:r>
      <w:r>
        <w:t xml:space="preserve"> 1987). Jako další mechanizmus příjmu je uvedena ireverzibilní </w:t>
      </w:r>
      <w:proofErr w:type="spellStart"/>
      <w:r>
        <w:t>nemetabolická</w:t>
      </w:r>
      <w:proofErr w:type="spellEnd"/>
      <w:r>
        <w:t xml:space="preserve"> fixace v buněčné stěně, která může představovat bariéru vstupu Cd do cytoplazmy buněk. Za nejvýznamnější mechanizmus v procesu příjmu Cd kořeny je však považována difuze.</w:t>
      </w:r>
    </w:p>
    <w:p w:rsidR="00013EFA" w:rsidRDefault="00013EFA" w:rsidP="00A948CA">
      <w:pPr>
        <w:pStyle w:val="Zkladntextodsazen"/>
        <w:tabs>
          <w:tab w:val="num" w:pos="0"/>
        </w:tabs>
        <w:spacing w:line="240" w:lineRule="auto"/>
        <w:ind w:left="0"/>
        <w:jc w:val="both"/>
      </w:pPr>
      <w:r>
        <w:t>Koncentrace rizikových prvků v kořenovém systému je všeobecně vyšší než jejich koncentrace v nadzemní části. Obsahy většiny rizikových prvků v jednotlivých orgánech rostliny zpravidla klesají v posloupnosti kořeny, listy, stonky, zásobní orgány, semena (</w:t>
      </w:r>
      <w:proofErr w:type="spellStart"/>
      <w:r>
        <w:t>Sauerbeck</w:t>
      </w:r>
      <w:proofErr w:type="spellEnd"/>
      <w:r>
        <w:t xml:space="preserve"> </w:t>
      </w:r>
      <w:r w:rsidR="00D7414E">
        <w:t>et</w:t>
      </w:r>
      <w:r>
        <w:t xml:space="preserve"> </w:t>
      </w:r>
      <w:proofErr w:type="spellStart"/>
      <w:r>
        <w:t>Lübben</w:t>
      </w:r>
      <w:proofErr w:type="spellEnd"/>
      <w:r w:rsidR="00D7414E">
        <w:t>,</w:t>
      </w:r>
      <w:r>
        <w:t xml:space="preserve"> 1991).</w:t>
      </w:r>
    </w:p>
    <w:p w:rsidR="00013EFA" w:rsidRDefault="00013EFA" w:rsidP="00A948CA">
      <w:pPr>
        <w:pStyle w:val="Zkladntextodsazen"/>
        <w:tabs>
          <w:tab w:val="num" w:pos="0"/>
        </w:tabs>
        <w:spacing w:line="240" w:lineRule="auto"/>
        <w:ind w:left="0"/>
        <w:jc w:val="both"/>
        <w:rPr>
          <w:i/>
        </w:rPr>
      </w:pPr>
      <w:r>
        <w:t xml:space="preserve">Kořenový systém je považován za účinnou bariérou vstupu rizikových prvků do nadzemní části. U nemobilních rizikových prvků (As, </w:t>
      </w:r>
      <w:proofErr w:type="spellStart"/>
      <w:r>
        <w:t>Pb</w:t>
      </w:r>
      <w:proofErr w:type="spellEnd"/>
      <w:r>
        <w:t xml:space="preserve">, </w:t>
      </w:r>
      <w:proofErr w:type="spellStart"/>
      <w:r>
        <w:t>Cr</w:t>
      </w:r>
      <w:proofErr w:type="spellEnd"/>
      <w:r>
        <w:t>) se v mnoha případech výrazně podílí na obsahu těchto prvků v rostlině mimokořenový</w:t>
      </w:r>
      <w:r w:rsidRPr="00013EFA">
        <w:t xml:space="preserve"> příjem</w:t>
      </w:r>
      <w:r>
        <w:rPr>
          <w:i/>
        </w:rPr>
        <w:t>.</w:t>
      </w:r>
    </w:p>
    <w:p w:rsidR="00013EFA" w:rsidRDefault="00013EFA" w:rsidP="00A948CA">
      <w:pPr>
        <w:pStyle w:val="Zkladntextodsazen"/>
        <w:tabs>
          <w:tab w:val="num" w:pos="0"/>
        </w:tabs>
        <w:spacing w:line="240" w:lineRule="auto"/>
        <w:ind w:left="0"/>
        <w:jc w:val="both"/>
      </w:pPr>
      <w:r>
        <w:t>Z mnohých prací je dále známo, že nemobilní rizikové prvky, obsažené ve spadu na povrchu rostlin, většinou nepronikají přes kutikulu do rostlinného pletiva, takže obsahy těchto rizikových prvků jsou u omytých rostlin řádově až o polovinu nižší než</w:t>
      </w:r>
      <w:r w:rsidR="003E64DD">
        <w:t xml:space="preserve"> u rostlin neomytých </w:t>
      </w:r>
      <w:r>
        <w:t>(</w:t>
      </w:r>
      <w:proofErr w:type="spellStart"/>
      <w:r>
        <w:t>Leukertová</w:t>
      </w:r>
      <w:proofErr w:type="spellEnd"/>
      <w:r>
        <w:t>, 1998). Naproti tomu mimokořenový příjem mobilních prvků (Cd) může zvyšovat, v závislosti na podmínkách, významně jeho obsah v rostlinné hmotě.</w:t>
      </w:r>
    </w:p>
    <w:p w:rsidR="00013EFA" w:rsidRDefault="00013EFA" w:rsidP="00A948CA">
      <w:pPr>
        <w:pStyle w:val="Zkladntextodsazen"/>
        <w:tabs>
          <w:tab w:val="num" w:pos="0"/>
        </w:tabs>
        <w:spacing w:line="240" w:lineRule="auto"/>
        <w:ind w:left="0"/>
        <w:jc w:val="both"/>
      </w:pPr>
      <w:r>
        <w:t>Obsah rizikových prvků v rostlině je různý také v jednotlivých růstových fázích. Ze zkušeností získaných z pokusů prováděných ve VÚMOP vyplývá, že nejvyšší koncentrace rizikových prvků v rostlinné hmotě je u obilnin zhruba ve fázi 4-5 listu, v dalších růstových fázích koncentrace klesá a dochází k separaci rizikových prvků do jednotlivých orgánů rostlin.</w:t>
      </w:r>
    </w:p>
    <w:p w:rsidR="001208C1" w:rsidRDefault="00013EFA" w:rsidP="00A948CA">
      <w:pPr>
        <w:pStyle w:val="Zkladntextodsazen"/>
        <w:tabs>
          <w:tab w:val="num" w:pos="0"/>
        </w:tabs>
        <w:spacing w:after="240" w:line="240" w:lineRule="auto"/>
        <w:ind w:left="0"/>
        <w:jc w:val="both"/>
      </w:pPr>
      <w:r>
        <w:t xml:space="preserve">Výrazné rozdíly v příjmu rizikových prvků byly pozorovány v rámci rostlinných druhů. </w:t>
      </w:r>
      <w:proofErr w:type="spellStart"/>
      <w:r>
        <w:t>Sauerbeck</w:t>
      </w:r>
      <w:proofErr w:type="spellEnd"/>
      <w:r>
        <w:t xml:space="preserve"> a </w:t>
      </w:r>
      <w:proofErr w:type="spellStart"/>
      <w:r>
        <w:t>Lübben</w:t>
      </w:r>
      <w:proofErr w:type="spellEnd"/>
      <w:r w:rsidR="003E64DD">
        <w:t>,</w:t>
      </w:r>
      <w:r>
        <w:t xml:space="preserve"> (1991) vypočetli transferové koeficienty (obsah prvku v rostlině/</w:t>
      </w:r>
      <w:proofErr w:type="spellStart"/>
      <w:r>
        <w:t>celk</w:t>
      </w:r>
      <w:proofErr w:type="spellEnd"/>
      <w:r>
        <w:t>. obsahem v půdě) a seřadili vybrané zemědělské plodiny do skupin podle hodnoty transferových koeficientů jednotlivých rizikových prvků. Tento fakt poměrně komplikuje aplikaci výsledků výzkumu do legislativních předpisů (především limitní hodnoty).</w:t>
      </w:r>
    </w:p>
    <w:p w:rsidR="00594789" w:rsidRDefault="00594789" w:rsidP="00594789">
      <w:pPr>
        <w:pStyle w:val="Nzev"/>
        <w:numPr>
          <w:ilvl w:val="1"/>
          <w:numId w:val="9"/>
        </w:numPr>
        <w:spacing w:after="120" w:line="360" w:lineRule="auto"/>
        <w:jc w:val="left"/>
        <w:rPr>
          <w:b w:val="0"/>
          <w:i/>
        </w:rPr>
      </w:pPr>
      <w:r>
        <w:rPr>
          <w:b w:val="0"/>
          <w:i/>
        </w:rPr>
        <w:t xml:space="preserve"> Perzistentní organické polutanty</w:t>
      </w:r>
    </w:p>
    <w:p w:rsidR="001D121B" w:rsidRPr="001D121B" w:rsidRDefault="001D121B" w:rsidP="001D121B">
      <w:pPr>
        <w:spacing w:line="240" w:lineRule="auto"/>
        <w:rPr>
          <w:rFonts w:ascii="Times New Roman" w:hAnsi="Times New Roman" w:cs="Times New Roman"/>
          <w:sz w:val="24"/>
          <w:szCs w:val="24"/>
        </w:rPr>
      </w:pPr>
      <w:r w:rsidRPr="001D121B">
        <w:rPr>
          <w:rFonts w:ascii="Times New Roman" w:hAnsi="Times New Roman" w:cs="Times New Roman"/>
          <w:sz w:val="24"/>
          <w:szCs w:val="24"/>
        </w:rPr>
        <w:t xml:space="preserve">Perzistentní organické polutanty představují rozsáhlou skupinu chemických sloučenin organické povahy, které mohou působit toxicky na živé organizmy. Popsány byly případy </w:t>
      </w:r>
      <w:proofErr w:type="spellStart"/>
      <w:r w:rsidRPr="001D121B">
        <w:rPr>
          <w:rFonts w:ascii="Times New Roman" w:hAnsi="Times New Roman" w:cs="Times New Roman"/>
          <w:sz w:val="24"/>
          <w:szCs w:val="24"/>
        </w:rPr>
        <w:t>zootoxického</w:t>
      </w:r>
      <w:proofErr w:type="spellEnd"/>
      <w:r w:rsidRPr="001D121B">
        <w:rPr>
          <w:rFonts w:ascii="Times New Roman" w:hAnsi="Times New Roman" w:cs="Times New Roman"/>
          <w:sz w:val="24"/>
          <w:szCs w:val="24"/>
        </w:rPr>
        <w:t xml:space="preserve"> působení celé řady sloučenin, vyvolávajících příznaky akutní nebo chronické toxicity. Spektrum zjištěných poruch zdraví zvířat i lidí je rozsáhlejší, než v případě potenciálně rizikových prvků. POP jsou potenciálními kancerogeny, mutageny, teratogeny, dalšími projevy mohou být genotoxicita, poruchy krvetvorby, zvýšení hladiny cholesterolu v krvi nebo poruchy reprodukce následkem jejich dlouhodobé expozice. </w:t>
      </w:r>
    </w:p>
    <w:p w:rsidR="001D121B" w:rsidRDefault="001D121B" w:rsidP="001D121B">
      <w:pPr>
        <w:pStyle w:val="Nzev"/>
        <w:spacing w:after="120"/>
        <w:jc w:val="left"/>
        <w:rPr>
          <w:b w:val="0"/>
        </w:rPr>
      </w:pPr>
      <w:r w:rsidRPr="000E6718">
        <w:rPr>
          <w:b w:val="0"/>
        </w:rPr>
        <w:t xml:space="preserve">Perzistentní organické polutanty </w:t>
      </w:r>
      <w:r>
        <w:rPr>
          <w:b w:val="0"/>
        </w:rPr>
        <w:t xml:space="preserve">(POP) </w:t>
      </w:r>
      <w:r w:rsidRPr="000E6718">
        <w:rPr>
          <w:b w:val="0"/>
        </w:rPr>
        <w:t xml:space="preserve">se dostávají do životního prostředí cestou přirozenou (lesní požáry, vulkanická činnost, výsledný produkt metabolických procesů některých nižších organizmů) nebo lidskou činností, </w:t>
      </w:r>
      <w:r>
        <w:rPr>
          <w:b w:val="0"/>
        </w:rPr>
        <w:t>která je pro obsahy POP v prostředí dlouhodobě určující.</w:t>
      </w:r>
      <w:r w:rsidRPr="000E6718">
        <w:rPr>
          <w:b w:val="0"/>
        </w:rPr>
        <w:t xml:space="preserve"> Významné jsou především spalovací procesy v oblasti průmyslu, dopravy a energetiky, úniky z chemického průmyslu</w:t>
      </w:r>
      <w:r>
        <w:rPr>
          <w:b w:val="0"/>
        </w:rPr>
        <w:t>, ale i domácností</w:t>
      </w:r>
      <w:r w:rsidRPr="000E6718">
        <w:rPr>
          <w:b w:val="0"/>
        </w:rPr>
        <w:t xml:space="preserve"> do prostředí (odpadní vody, exhalace) nebo vznik nebezpečných vedlejších produktů (dioxinové znečištění) apod. </w:t>
      </w:r>
      <w:r>
        <w:rPr>
          <w:b w:val="0"/>
        </w:rPr>
        <w:t xml:space="preserve">Celá řada těchto látek se však vyrábí cíleně (zpomalovače hoření, součásti nátěrových hmot a pesticidy používané v zemědělství). Významný je rovněž vznik POP při stárnutí a rozkladu materiálů, jakými jsou nátěrové materiály, umělé hmoty či tzv. funkční textilie. </w:t>
      </w:r>
      <w:r w:rsidRPr="000E6718">
        <w:rPr>
          <w:b w:val="0"/>
        </w:rPr>
        <w:t>Perzistentní organické polutanty jsou v současné době považovány za natolik významné, že je jim věnována značná pozornost z hlediska inventarizace jejich obsahů v prostředí. V České republice byl</w:t>
      </w:r>
      <w:r>
        <w:rPr>
          <w:b w:val="0"/>
        </w:rPr>
        <w:t>a</w:t>
      </w:r>
      <w:r w:rsidRPr="000E6718">
        <w:rPr>
          <w:b w:val="0"/>
        </w:rPr>
        <w:t xml:space="preserve"> vypracován</w:t>
      </w:r>
      <w:r>
        <w:rPr>
          <w:b w:val="0"/>
        </w:rPr>
        <w:t>a inventura POP v prostředí v rámci</w:t>
      </w:r>
      <w:r w:rsidRPr="000E6718">
        <w:rPr>
          <w:b w:val="0"/>
        </w:rPr>
        <w:t xml:space="preserve"> projekt</w:t>
      </w:r>
      <w:r>
        <w:rPr>
          <w:b w:val="0"/>
        </w:rPr>
        <w:t>u</w:t>
      </w:r>
      <w:r w:rsidRPr="000E6718">
        <w:rPr>
          <w:b w:val="0"/>
        </w:rPr>
        <w:t xml:space="preserve"> implementace "</w:t>
      </w:r>
      <w:proofErr w:type="spellStart"/>
      <w:r w:rsidRPr="000E6718">
        <w:rPr>
          <w:b w:val="0"/>
        </w:rPr>
        <w:t>S</w:t>
      </w:r>
      <w:r>
        <w:rPr>
          <w:b w:val="0"/>
        </w:rPr>
        <w:t>tockholmeské</w:t>
      </w:r>
      <w:proofErr w:type="spellEnd"/>
      <w:r>
        <w:rPr>
          <w:b w:val="0"/>
        </w:rPr>
        <w:t xml:space="preserve"> konvence“ (Holoubek et al.</w:t>
      </w:r>
      <w:r w:rsidR="00D7414E">
        <w:rPr>
          <w:b w:val="0"/>
        </w:rPr>
        <w:t>,</w:t>
      </w:r>
      <w:r>
        <w:rPr>
          <w:b w:val="0"/>
        </w:rPr>
        <w:t xml:space="preserve"> 200</w:t>
      </w:r>
      <w:r w:rsidR="00BD7D2D">
        <w:rPr>
          <w:b w:val="0"/>
        </w:rPr>
        <w:t>2</w:t>
      </w:r>
      <w:r>
        <w:rPr>
          <w:b w:val="0"/>
        </w:rPr>
        <w:t xml:space="preserve">), která se zaměřuje na nejzávažnější sloučeniny ze skupiny POP. Dopady zvýšených obsahů POP v prostředí jsou závažné, ať se jedná o prostředí průmyslové (tragické události po intoxikaci pracovníků PCDD/F v italském </w:t>
      </w:r>
      <w:proofErr w:type="spellStart"/>
      <w:r>
        <w:rPr>
          <w:b w:val="0"/>
        </w:rPr>
        <w:t>Sevesu</w:t>
      </w:r>
      <w:proofErr w:type="spellEnd"/>
      <w:r>
        <w:rPr>
          <w:b w:val="0"/>
        </w:rPr>
        <w:t xml:space="preserve"> a naší Spolaně Neratovice) nebo přírodní (případ dramatického úbytku floridských aligátorů vlivem působení estrogenních efektů následkem zvýšených obsahů POP ve vodách, atd.). V současné době se mimo jiné POP přičítá významná úloha na poklesu plodnosti mužů (ftaláty, PAU). Perzistentní organické polutanty setrvávají v prostředí různě dlouhou dobu, obecně se pro perzistenci udává časová periody dvou let. Mnohé z POP však mohou setrvat v půdním prostředí delší dobu, např. poločas rozpadu pro DDT se udává okolo 17-18 roků. Významnou roli mohou mít půdní vlastnosti (obsah organické hmoty, aktivita půdních mikroorganizmů, teplota, vlhkost apod..). POP se v prostředí mohou šířit na velké vzdálenosti dálkovými přenosy v imisích, zmonitorován byl rovněž jejich pohyb z „z místa na místo“ po zemském povrchu, kdy jsou vázány na pevné částice. POP byly detekovány daleko od míst jejich původu, např. i v oblastech polárních. </w:t>
      </w:r>
    </w:p>
    <w:p w:rsidR="001D121B" w:rsidRDefault="001D121B" w:rsidP="001D121B">
      <w:pPr>
        <w:pStyle w:val="Nzev"/>
        <w:spacing w:after="120"/>
        <w:jc w:val="left"/>
        <w:rPr>
          <w:b w:val="0"/>
        </w:rPr>
      </w:pPr>
      <w:r>
        <w:rPr>
          <w:b w:val="0"/>
        </w:rPr>
        <w:t xml:space="preserve">Perzistentní organické polutanty mohou vznikat za různých podmínek z mnoha typů materiálů, jsou alifatické a cyklické povahy, mají různorodé fyzikální a chemické vlastnosti i různou toxicitu v prostředí. Sledování a hodnocení se účelově zaměřuje na sloučeniny s významnou toxicitou a výskytem v prostředí. POP je možno dělit z mnoha hledisek, Stockholmská konvence rozděluje POP dle jejich původu na látky používané v zemědělství – </w:t>
      </w:r>
      <w:proofErr w:type="spellStart"/>
      <w:r>
        <w:rPr>
          <w:b w:val="0"/>
        </w:rPr>
        <w:t>organochlorové</w:t>
      </w:r>
      <w:proofErr w:type="spellEnd"/>
      <w:r>
        <w:rPr>
          <w:b w:val="0"/>
        </w:rPr>
        <w:t xml:space="preserve"> pesticidy (DDT a metabolity, Aldrin, Dieldrin, </w:t>
      </w:r>
      <w:proofErr w:type="spellStart"/>
      <w:r>
        <w:rPr>
          <w:b w:val="0"/>
        </w:rPr>
        <w:t>Eldrin</w:t>
      </w:r>
      <w:proofErr w:type="spellEnd"/>
      <w:r>
        <w:rPr>
          <w:b w:val="0"/>
        </w:rPr>
        <w:t xml:space="preserve">, </w:t>
      </w:r>
      <w:proofErr w:type="spellStart"/>
      <w:r>
        <w:rPr>
          <w:b w:val="0"/>
        </w:rPr>
        <w:t>Heptachlor</w:t>
      </w:r>
      <w:proofErr w:type="spellEnd"/>
      <w:r>
        <w:rPr>
          <w:b w:val="0"/>
        </w:rPr>
        <w:t xml:space="preserve">, </w:t>
      </w:r>
      <w:proofErr w:type="spellStart"/>
      <w:r>
        <w:rPr>
          <w:b w:val="0"/>
        </w:rPr>
        <w:t>Hexychlorbenzen</w:t>
      </w:r>
      <w:proofErr w:type="spellEnd"/>
      <w:r>
        <w:rPr>
          <w:b w:val="0"/>
        </w:rPr>
        <w:t xml:space="preserve">, </w:t>
      </w:r>
      <w:proofErr w:type="spellStart"/>
      <w:r>
        <w:rPr>
          <w:b w:val="0"/>
        </w:rPr>
        <w:t>Chlordan</w:t>
      </w:r>
      <w:proofErr w:type="spellEnd"/>
      <w:r>
        <w:rPr>
          <w:b w:val="0"/>
        </w:rPr>
        <w:t xml:space="preserve">, </w:t>
      </w:r>
      <w:proofErr w:type="spellStart"/>
      <w:r>
        <w:rPr>
          <w:b w:val="0"/>
        </w:rPr>
        <w:t>Lindan</w:t>
      </w:r>
      <w:proofErr w:type="spellEnd"/>
      <w:r>
        <w:rPr>
          <w:b w:val="0"/>
        </w:rPr>
        <w:t xml:space="preserve">, </w:t>
      </w:r>
      <w:proofErr w:type="spellStart"/>
      <w:r>
        <w:rPr>
          <w:b w:val="0"/>
        </w:rPr>
        <w:t>Mirex</w:t>
      </w:r>
      <w:proofErr w:type="spellEnd"/>
      <w:r>
        <w:rPr>
          <w:b w:val="0"/>
        </w:rPr>
        <w:t xml:space="preserve">, </w:t>
      </w:r>
      <w:proofErr w:type="spellStart"/>
      <w:r>
        <w:rPr>
          <w:b w:val="0"/>
        </w:rPr>
        <w:t>Toxaphen</w:t>
      </w:r>
      <w:proofErr w:type="spellEnd"/>
      <w:r>
        <w:rPr>
          <w:b w:val="0"/>
        </w:rPr>
        <w:t xml:space="preserve">), vyráběné chemické látky a jejich směsi (polychlorované bifenyly – PCB, </w:t>
      </w:r>
      <w:proofErr w:type="spellStart"/>
      <w:r>
        <w:rPr>
          <w:b w:val="0"/>
        </w:rPr>
        <w:t>hexachlorbenzen</w:t>
      </w:r>
      <w:proofErr w:type="spellEnd"/>
      <w:r>
        <w:rPr>
          <w:b w:val="0"/>
        </w:rPr>
        <w:t xml:space="preserve"> – HCB) a na látky vznikající jako vedlejší produkty spalovacích a technologických procesů (polycyklické aromatické uhlovodíky – PAU, polychlorované </w:t>
      </w:r>
      <w:proofErr w:type="spellStart"/>
      <w:r>
        <w:rPr>
          <w:b w:val="0"/>
        </w:rPr>
        <w:t>dibenzo</w:t>
      </w:r>
      <w:proofErr w:type="spellEnd"/>
      <w:r>
        <w:rPr>
          <w:b w:val="0"/>
        </w:rPr>
        <w:t xml:space="preserve">-p-dioxiny a </w:t>
      </w:r>
      <w:proofErr w:type="spellStart"/>
      <w:r>
        <w:rPr>
          <w:b w:val="0"/>
        </w:rPr>
        <w:t>dibenzofurany</w:t>
      </w:r>
      <w:proofErr w:type="spellEnd"/>
      <w:r>
        <w:rPr>
          <w:b w:val="0"/>
        </w:rPr>
        <w:t xml:space="preserve"> – PCDD/F). </w:t>
      </w:r>
    </w:p>
    <w:p w:rsidR="001D121B" w:rsidRDefault="001D121B" w:rsidP="001D121B">
      <w:pPr>
        <w:pStyle w:val="Nzev"/>
        <w:spacing w:after="120"/>
        <w:jc w:val="left"/>
        <w:rPr>
          <w:b w:val="0"/>
        </w:rPr>
      </w:pPr>
      <w:r>
        <w:rPr>
          <w:b w:val="0"/>
        </w:rPr>
        <w:t xml:space="preserve">Pro potřeby sledování POP v zemědělských půdách byl na </w:t>
      </w:r>
      <w:r w:rsidRPr="001A5100">
        <w:rPr>
          <w:b w:val="0"/>
        </w:rPr>
        <w:t>základě zahraničních zkušeností akceptován výčet zdravotně závažných sloučenin ze skupiny POP, uvedený v tzv. "holandském seznamu"</w:t>
      </w:r>
      <w:r>
        <w:rPr>
          <w:b w:val="0"/>
        </w:rPr>
        <w:t>, uvedeném níže.</w:t>
      </w:r>
    </w:p>
    <w:p w:rsidR="001D121B" w:rsidRDefault="001D121B" w:rsidP="001D121B">
      <w:pPr>
        <w:pStyle w:val="Nzev"/>
        <w:jc w:val="left"/>
        <w:rPr>
          <w:b w:val="0"/>
        </w:rPr>
      </w:pPr>
      <w:r>
        <w:rPr>
          <w:b w:val="0"/>
        </w:rPr>
        <w:t>POP sledované v zemědělských půdách ČR</w:t>
      </w:r>
    </w:p>
    <w:tbl>
      <w:tblPr>
        <w:tblW w:w="8030" w:type="dxa"/>
        <w:tblInd w:w="-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A0" w:firstRow="1" w:lastRow="0" w:firstColumn="1" w:lastColumn="0" w:noHBand="0" w:noVBand="0"/>
      </w:tblPr>
      <w:tblGrid>
        <w:gridCol w:w="8030"/>
      </w:tblGrid>
      <w:tr w:rsidR="001D121B" w:rsidRPr="001A5100" w:rsidTr="001D121B">
        <w:trPr>
          <w:trHeight w:val="309"/>
        </w:trPr>
        <w:tc>
          <w:tcPr>
            <w:tcW w:w="8030" w:type="dxa"/>
            <w:vAlign w:val="center"/>
          </w:tcPr>
          <w:p w:rsidR="001D121B" w:rsidRPr="001A5100" w:rsidRDefault="001D121B" w:rsidP="001D121B">
            <w:pPr>
              <w:spacing w:line="240" w:lineRule="auto"/>
              <w:rPr>
                <w:rFonts w:ascii="Times New Roman" w:hAnsi="Times New Roman" w:cs="Times New Roman"/>
                <w:sz w:val="24"/>
                <w:szCs w:val="24"/>
              </w:rPr>
            </w:pPr>
          </w:p>
          <w:p w:rsidR="001D121B" w:rsidRPr="001A5100" w:rsidRDefault="001D121B" w:rsidP="001D121B">
            <w:pPr>
              <w:spacing w:line="240" w:lineRule="auto"/>
              <w:rPr>
                <w:rFonts w:ascii="Times New Roman" w:hAnsi="Times New Roman" w:cs="Times New Roman"/>
                <w:sz w:val="24"/>
                <w:szCs w:val="24"/>
              </w:rPr>
            </w:pPr>
            <w:r w:rsidRPr="001A5100">
              <w:rPr>
                <w:rFonts w:ascii="Times New Roman" w:hAnsi="Times New Roman" w:cs="Times New Roman"/>
                <w:sz w:val="24"/>
                <w:szCs w:val="24"/>
              </w:rPr>
              <w:t xml:space="preserve">Sledované </w:t>
            </w:r>
            <w:proofErr w:type="spellStart"/>
            <w:r w:rsidRPr="001A5100">
              <w:rPr>
                <w:rFonts w:ascii="Times New Roman" w:hAnsi="Times New Roman" w:cs="Times New Roman"/>
                <w:sz w:val="24"/>
                <w:szCs w:val="24"/>
              </w:rPr>
              <w:t>POPs</w:t>
            </w:r>
            <w:proofErr w:type="spellEnd"/>
          </w:p>
        </w:tc>
      </w:tr>
      <w:tr w:rsidR="001D121B" w:rsidRPr="001A5100" w:rsidTr="001D121B">
        <w:trPr>
          <w:trHeight w:val="2535"/>
        </w:trPr>
        <w:tc>
          <w:tcPr>
            <w:tcW w:w="8030" w:type="dxa"/>
          </w:tcPr>
          <w:p w:rsidR="001D121B" w:rsidRPr="001A5100" w:rsidRDefault="001D121B" w:rsidP="001D121B">
            <w:pPr>
              <w:spacing w:line="240" w:lineRule="auto"/>
              <w:rPr>
                <w:rFonts w:ascii="Times New Roman" w:hAnsi="Times New Roman" w:cs="Times New Roman"/>
                <w:sz w:val="24"/>
                <w:szCs w:val="24"/>
              </w:rPr>
            </w:pPr>
            <w:proofErr w:type="spellStart"/>
            <w:r w:rsidRPr="001A5100">
              <w:rPr>
                <w:rFonts w:ascii="Times New Roman" w:hAnsi="Times New Roman" w:cs="Times New Roman"/>
                <w:sz w:val="24"/>
                <w:szCs w:val="24"/>
              </w:rPr>
              <w:t>Monoaromatické</w:t>
            </w:r>
            <w:proofErr w:type="spellEnd"/>
            <w:r w:rsidRPr="001A5100">
              <w:rPr>
                <w:rFonts w:ascii="Times New Roman" w:hAnsi="Times New Roman" w:cs="Times New Roman"/>
                <w:sz w:val="24"/>
                <w:szCs w:val="24"/>
              </w:rPr>
              <w:t xml:space="preserve"> uhlovodíky</w:t>
            </w:r>
          </w:p>
          <w:p w:rsidR="001D121B" w:rsidRPr="001A5100" w:rsidRDefault="001D121B" w:rsidP="001D121B">
            <w:pPr>
              <w:spacing w:line="240" w:lineRule="auto"/>
              <w:rPr>
                <w:rFonts w:ascii="Times New Roman" w:hAnsi="Times New Roman" w:cs="Times New Roman"/>
                <w:sz w:val="24"/>
                <w:szCs w:val="24"/>
              </w:rPr>
            </w:pPr>
            <w:r w:rsidRPr="001A5100">
              <w:rPr>
                <w:rFonts w:ascii="Times New Roman" w:hAnsi="Times New Roman" w:cs="Times New Roman"/>
                <w:sz w:val="24"/>
                <w:szCs w:val="24"/>
              </w:rPr>
              <w:t xml:space="preserve">benzen, toluen, xylen, </w:t>
            </w:r>
            <w:proofErr w:type="spellStart"/>
            <w:r w:rsidRPr="001A5100">
              <w:rPr>
                <w:rFonts w:ascii="Times New Roman" w:hAnsi="Times New Roman" w:cs="Times New Roman"/>
                <w:sz w:val="24"/>
                <w:szCs w:val="24"/>
              </w:rPr>
              <w:t>ethylbenzen</w:t>
            </w:r>
            <w:proofErr w:type="spellEnd"/>
          </w:p>
          <w:p w:rsidR="001D121B" w:rsidRPr="001A5100" w:rsidRDefault="001D121B" w:rsidP="001D121B">
            <w:pPr>
              <w:spacing w:line="240" w:lineRule="auto"/>
              <w:rPr>
                <w:rFonts w:ascii="Times New Roman" w:hAnsi="Times New Roman" w:cs="Times New Roman"/>
                <w:sz w:val="24"/>
                <w:szCs w:val="24"/>
              </w:rPr>
            </w:pPr>
          </w:p>
          <w:p w:rsidR="001D121B" w:rsidRPr="001A5100" w:rsidRDefault="001D121B" w:rsidP="001D121B">
            <w:pPr>
              <w:spacing w:line="240" w:lineRule="auto"/>
              <w:rPr>
                <w:rFonts w:ascii="Times New Roman" w:hAnsi="Times New Roman" w:cs="Times New Roman"/>
                <w:sz w:val="24"/>
                <w:szCs w:val="24"/>
              </w:rPr>
            </w:pPr>
            <w:proofErr w:type="spellStart"/>
            <w:r w:rsidRPr="001A5100">
              <w:rPr>
                <w:rFonts w:ascii="Times New Roman" w:hAnsi="Times New Roman" w:cs="Times New Roman"/>
                <w:sz w:val="24"/>
                <w:szCs w:val="24"/>
              </w:rPr>
              <w:t>Polyaromatické</w:t>
            </w:r>
            <w:proofErr w:type="spellEnd"/>
            <w:r w:rsidRPr="001A5100">
              <w:rPr>
                <w:rFonts w:ascii="Times New Roman" w:hAnsi="Times New Roman" w:cs="Times New Roman"/>
                <w:sz w:val="24"/>
                <w:szCs w:val="24"/>
              </w:rPr>
              <w:t xml:space="preserve"> uhlovodíky</w:t>
            </w:r>
          </w:p>
          <w:p w:rsidR="001D121B" w:rsidRPr="001A5100" w:rsidRDefault="001D121B" w:rsidP="001D121B">
            <w:pPr>
              <w:spacing w:line="240" w:lineRule="auto"/>
              <w:rPr>
                <w:rFonts w:ascii="Times New Roman" w:hAnsi="Times New Roman" w:cs="Times New Roman"/>
                <w:sz w:val="24"/>
                <w:szCs w:val="24"/>
              </w:rPr>
            </w:pPr>
            <w:r w:rsidRPr="001A5100">
              <w:rPr>
                <w:rFonts w:ascii="Times New Roman" w:hAnsi="Times New Roman" w:cs="Times New Roman"/>
                <w:sz w:val="24"/>
                <w:szCs w:val="24"/>
              </w:rPr>
              <w:t xml:space="preserve">naftalen, anthracen, pyren, </w:t>
            </w:r>
            <w:proofErr w:type="spellStart"/>
            <w:r w:rsidRPr="001A5100">
              <w:rPr>
                <w:rFonts w:ascii="Times New Roman" w:hAnsi="Times New Roman" w:cs="Times New Roman"/>
                <w:sz w:val="24"/>
                <w:szCs w:val="24"/>
              </w:rPr>
              <w:t>fluoranthen</w:t>
            </w:r>
            <w:proofErr w:type="spellEnd"/>
            <w:r w:rsidRPr="001A5100">
              <w:rPr>
                <w:rFonts w:ascii="Times New Roman" w:hAnsi="Times New Roman" w:cs="Times New Roman"/>
                <w:sz w:val="24"/>
                <w:szCs w:val="24"/>
              </w:rPr>
              <w:t xml:space="preserve">, </w:t>
            </w:r>
            <w:proofErr w:type="spellStart"/>
            <w:r w:rsidRPr="001A5100">
              <w:rPr>
                <w:rFonts w:ascii="Times New Roman" w:hAnsi="Times New Roman" w:cs="Times New Roman"/>
                <w:sz w:val="24"/>
                <w:szCs w:val="24"/>
              </w:rPr>
              <w:t>phenanthren,chrysen</w:t>
            </w:r>
            <w:proofErr w:type="spellEnd"/>
            <w:r w:rsidRPr="001A5100">
              <w:rPr>
                <w:rFonts w:ascii="Times New Roman" w:hAnsi="Times New Roman" w:cs="Times New Roman"/>
                <w:sz w:val="24"/>
                <w:szCs w:val="24"/>
              </w:rPr>
              <w:t xml:space="preserve">, </w:t>
            </w:r>
            <w:proofErr w:type="spellStart"/>
            <w:proofErr w:type="gramStart"/>
            <w:r w:rsidRPr="001A5100">
              <w:rPr>
                <w:rFonts w:ascii="Times New Roman" w:hAnsi="Times New Roman" w:cs="Times New Roman"/>
                <w:sz w:val="24"/>
                <w:szCs w:val="24"/>
              </w:rPr>
              <w:t>benzo</w:t>
            </w:r>
            <w:proofErr w:type="spellEnd"/>
            <w:r w:rsidRPr="001A5100">
              <w:rPr>
                <w:rFonts w:ascii="Times New Roman" w:hAnsi="Times New Roman" w:cs="Times New Roman"/>
                <w:sz w:val="24"/>
                <w:szCs w:val="24"/>
              </w:rPr>
              <w:t>(b)</w:t>
            </w:r>
            <w:proofErr w:type="spellStart"/>
            <w:r w:rsidRPr="001A5100">
              <w:rPr>
                <w:rFonts w:ascii="Times New Roman" w:hAnsi="Times New Roman" w:cs="Times New Roman"/>
                <w:sz w:val="24"/>
                <w:szCs w:val="24"/>
              </w:rPr>
              <w:t>fluoranthen</w:t>
            </w:r>
            <w:proofErr w:type="spellEnd"/>
            <w:proofErr w:type="gramEnd"/>
            <w:r w:rsidRPr="001A5100">
              <w:rPr>
                <w:rFonts w:ascii="Times New Roman" w:hAnsi="Times New Roman" w:cs="Times New Roman"/>
                <w:sz w:val="24"/>
                <w:szCs w:val="24"/>
              </w:rPr>
              <w:t xml:space="preserve">, </w:t>
            </w:r>
            <w:proofErr w:type="spellStart"/>
            <w:r w:rsidRPr="001A5100">
              <w:rPr>
                <w:rFonts w:ascii="Times New Roman" w:hAnsi="Times New Roman" w:cs="Times New Roman"/>
                <w:sz w:val="24"/>
                <w:szCs w:val="24"/>
              </w:rPr>
              <w:t>benzo</w:t>
            </w:r>
            <w:proofErr w:type="spellEnd"/>
            <w:r w:rsidRPr="001A5100">
              <w:rPr>
                <w:rFonts w:ascii="Times New Roman" w:hAnsi="Times New Roman" w:cs="Times New Roman"/>
                <w:sz w:val="24"/>
                <w:szCs w:val="24"/>
              </w:rPr>
              <w:t>(k)</w:t>
            </w:r>
            <w:proofErr w:type="spellStart"/>
            <w:r w:rsidRPr="001A5100">
              <w:rPr>
                <w:rFonts w:ascii="Times New Roman" w:hAnsi="Times New Roman" w:cs="Times New Roman"/>
                <w:sz w:val="24"/>
                <w:szCs w:val="24"/>
              </w:rPr>
              <w:t>fluoranthen</w:t>
            </w:r>
            <w:proofErr w:type="spellEnd"/>
            <w:r w:rsidRPr="001A5100">
              <w:rPr>
                <w:rFonts w:ascii="Times New Roman" w:hAnsi="Times New Roman" w:cs="Times New Roman"/>
                <w:sz w:val="24"/>
                <w:szCs w:val="24"/>
              </w:rPr>
              <w:t xml:space="preserve">, </w:t>
            </w:r>
            <w:proofErr w:type="spellStart"/>
            <w:r w:rsidRPr="001A5100">
              <w:rPr>
                <w:rFonts w:ascii="Times New Roman" w:hAnsi="Times New Roman" w:cs="Times New Roman"/>
                <w:sz w:val="24"/>
                <w:szCs w:val="24"/>
              </w:rPr>
              <w:t>benzo</w:t>
            </w:r>
            <w:proofErr w:type="spellEnd"/>
            <w:r w:rsidRPr="001A5100">
              <w:rPr>
                <w:rFonts w:ascii="Times New Roman" w:hAnsi="Times New Roman" w:cs="Times New Roman"/>
                <w:sz w:val="24"/>
                <w:szCs w:val="24"/>
              </w:rPr>
              <w:t>(a)</w:t>
            </w:r>
            <w:proofErr w:type="spellStart"/>
            <w:r w:rsidRPr="001A5100">
              <w:rPr>
                <w:rFonts w:ascii="Times New Roman" w:hAnsi="Times New Roman" w:cs="Times New Roman"/>
                <w:sz w:val="24"/>
                <w:szCs w:val="24"/>
              </w:rPr>
              <w:t>anthracen,benzo</w:t>
            </w:r>
            <w:proofErr w:type="spellEnd"/>
            <w:r w:rsidRPr="001A5100">
              <w:rPr>
                <w:rFonts w:ascii="Times New Roman" w:hAnsi="Times New Roman" w:cs="Times New Roman"/>
                <w:sz w:val="24"/>
                <w:szCs w:val="24"/>
              </w:rPr>
              <w:t xml:space="preserve">(a)pyren, </w:t>
            </w:r>
            <w:proofErr w:type="spellStart"/>
            <w:r w:rsidRPr="001A5100">
              <w:rPr>
                <w:rFonts w:ascii="Times New Roman" w:hAnsi="Times New Roman" w:cs="Times New Roman"/>
                <w:sz w:val="24"/>
                <w:szCs w:val="24"/>
              </w:rPr>
              <w:t>indeno</w:t>
            </w:r>
            <w:proofErr w:type="spellEnd"/>
            <w:r w:rsidRPr="001A5100">
              <w:rPr>
                <w:rFonts w:ascii="Times New Roman" w:hAnsi="Times New Roman" w:cs="Times New Roman"/>
                <w:sz w:val="24"/>
                <w:szCs w:val="24"/>
              </w:rPr>
              <w:t>(</w:t>
            </w:r>
            <w:proofErr w:type="spellStart"/>
            <w:r w:rsidRPr="001A5100">
              <w:rPr>
                <w:rFonts w:ascii="Times New Roman" w:hAnsi="Times New Roman" w:cs="Times New Roman"/>
                <w:sz w:val="24"/>
                <w:szCs w:val="24"/>
              </w:rPr>
              <w:t>c,d</w:t>
            </w:r>
            <w:proofErr w:type="spellEnd"/>
            <w:r w:rsidRPr="001A5100">
              <w:rPr>
                <w:rFonts w:ascii="Times New Roman" w:hAnsi="Times New Roman" w:cs="Times New Roman"/>
                <w:sz w:val="24"/>
                <w:szCs w:val="24"/>
              </w:rPr>
              <w:t xml:space="preserve">)pyren, </w:t>
            </w:r>
            <w:proofErr w:type="spellStart"/>
            <w:r w:rsidRPr="001A5100">
              <w:rPr>
                <w:rFonts w:ascii="Times New Roman" w:hAnsi="Times New Roman" w:cs="Times New Roman"/>
                <w:sz w:val="24"/>
                <w:szCs w:val="24"/>
              </w:rPr>
              <w:t>benzo</w:t>
            </w:r>
            <w:proofErr w:type="spellEnd"/>
            <w:r w:rsidRPr="001A5100">
              <w:rPr>
                <w:rFonts w:ascii="Times New Roman" w:hAnsi="Times New Roman" w:cs="Times New Roman"/>
                <w:sz w:val="24"/>
                <w:szCs w:val="24"/>
              </w:rPr>
              <w:t>(</w:t>
            </w:r>
            <w:proofErr w:type="spellStart"/>
            <w:r w:rsidRPr="001A5100">
              <w:rPr>
                <w:rFonts w:ascii="Times New Roman" w:hAnsi="Times New Roman" w:cs="Times New Roman"/>
                <w:sz w:val="24"/>
                <w:szCs w:val="24"/>
              </w:rPr>
              <w:t>ghi</w:t>
            </w:r>
            <w:proofErr w:type="spellEnd"/>
            <w:r w:rsidRPr="001A5100">
              <w:rPr>
                <w:rFonts w:ascii="Times New Roman" w:hAnsi="Times New Roman" w:cs="Times New Roman"/>
                <w:sz w:val="24"/>
                <w:szCs w:val="24"/>
              </w:rPr>
              <w:t>)</w:t>
            </w:r>
            <w:proofErr w:type="spellStart"/>
            <w:r w:rsidRPr="001A5100">
              <w:rPr>
                <w:rFonts w:ascii="Times New Roman" w:hAnsi="Times New Roman" w:cs="Times New Roman"/>
                <w:sz w:val="24"/>
                <w:szCs w:val="24"/>
              </w:rPr>
              <w:t>perylen</w:t>
            </w:r>
            <w:proofErr w:type="spellEnd"/>
            <w:r w:rsidRPr="001A5100">
              <w:rPr>
                <w:rFonts w:ascii="Times New Roman" w:hAnsi="Times New Roman" w:cs="Times New Roman"/>
                <w:sz w:val="24"/>
                <w:szCs w:val="24"/>
              </w:rPr>
              <w:t xml:space="preserve">  </w:t>
            </w:r>
          </w:p>
          <w:p w:rsidR="001D121B" w:rsidRPr="001A5100" w:rsidRDefault="001D121B" w:rsidP="001D121B">
            <w:pPr>
              <w:spacing w:line="240" w:lineRule="auto"/>
              <w:rPr>
                <w:rFonts w:ascii="Times New Roman" w:hAnsi="Times New Roman" w:cs="Times New Roman"/>
                <w:sz w:val="24"/>
                <w:szCs w:val="24"/>
              </w:rPr>
            </w:pPr>
          </w:p>
          <w:p w:rsidR="001D121B" w:rsidRPr="001A5100" w:rsidRDefault="001D121B" w:rsidP="001D121B">
            <w:pPr>
              <w:spacing w:line="240" w:lineRule="auto"/>
              <w:rPr>
                <w:rFonts w:ascii="Times New Roman" w:hAnsi="Times New Roman" w:cs="Times New Roman"/>
                <w:sz w:val="24"/>
                <w:szCs w:val="24"/>
              </w:rPr>
            </w:pPr>
            <w:r w:rsidRPr="001A5100">
              <w:rPr>
                <w:rFonts w:ascii="Times New Roman" w:hAnsi="Times New Roman" w:cs="Times New Roman"/>
                <w:sz w:val="24"/>
                <w:szCs w:val="24"/>
              </w:rPr>
              <w:t>Chlorované uhlovodíky</w:t>
            </w:r>
          </w:p>
          <w:p w:rsidR="001D121B" w:rsidRPr="001A5100" w:rsidRDefault="001D121B" w:rsidP="001D121B">
            <w:pPr>
              <w:spacing w:line="240" w:lineRule="auto"/>
              <w:rPr>
                <w:rFonts w:ascii="Times New Roman" w:hAnsi="Times New Roman" w:cs="Times New Roman"/>
                <w:sz w:val="24"/>
                <w:szCs w:val="24"/>
              </w:rPr>
            </w:pPr>
            <w:r w:rsidRPr="001A5100">
              <w:rPr>
                <w:rFonts w:ascii="Times New Roman" w:hAnsi="Times New Roman" w:cs="Times New Roman"/>
                <w:sz w:val="24"/>
                <w:szCs w:val="24"/>
              </w:rPr>
              <w:t xml:space="preserve">PCB, HCB, </w:t>
            </w:r>
            <w:r w:rsidRPr="001A5100">
              <w:rPr>
                <w:rFonts w:ascii="Times New Roman" w:hAnsi="Times New Roman" w:cs="Times New Roman"/>
                <w:sz w:val="24"/>
                <w:szCs w:val="24"/>
              </w:rPr>
              <w:sym w:font="Symbol" w:char="0061"/>
            </w:r>
            <w:r w:rsidRPr="001A5100">
              <w:rPr>
                <w:rFonts w:ascii="Times New Roman" w:hAnsi="Times New Roman" w:cs="Times New Roman"/>
                <w:sz w:val="24"/>
                <w:szCs w:val="24"/>
              </w:rPr>
              <w:t xml:space="preserve">-HCH, </w:t>
            </w:r>
            <w:r w:rsidRPr="001A5100">
              <w:rPr>
                <w:rFonts w:ascii="Times New Roman" w:hAnsi="Times New Roman" w:cs="Times New Roman"/>
                <w:sz w:val="24"/>
                <w:szCs w:val="24"/>
              </w:rPr>
              <w:sym w:font="Symbol" w:char="0062"/>
            </w:r>
            <w:r w:rsidRPr="001A5100">
              <w:rPr>
                <w:rFonts w:ascii="Times New Roman" w:hAnsi="Times New Roman" w:cs="Times New Roman"/>
                <w:sz w:val="24"/>
                <w:szCs w:val="24"/>
              </w:rPr>
              <w:t xml:space="preserve">-HCH, </w:t>
            </w:r>
            <w:r w:rsidRPr="001A5100">
              <w:rPr>
                <w:rFonts w:ascii="Times New Roman" w:hAnsi="Times New Roman" w:cs="Times New Roman"/>
                <w:sz w:val="24"/>
                <w:szCs w:val="24"/>
              </w:rPr>
              <w:sym w:font="Symbol" w:char="0067"/>
            </w:r>
            <w:r w:rsidRPr="001A5100">
              <w:rPr>
                <w:rFonts w:ascii="Times New Roman" w:hAnsi="Times New Roman" w:cs="Times New Roman"/>
                <w:sz w:val="24"/>
                <w:szCs w:val="24"/>
              </w:rPr>
              <w:t>-HCH</w:t>
            </w:r>
          </w:p>
          <w:p w:rsidR="001D121B" w:rsidRPr="001A5100" w:rsidRDefault="001D121B" w:rsidP="001D121B">
            <w:pPr>
              <w:spacing w:line="240" w:lineRule="auto"/>
              <w:rPr>
                <w:rFonts w:ascii="Times New Roman" w:hAnsi="Times New Roman" w:cs="Times New Roman"/>
                <w:sz w:val="24"/>
                <w:szCs w:val="24"/>
              </w:rPr>
            </w:pPr>
          </w:p>
          <w:p w:rsidR="001D121B" w:rsidRPr="001A5100" w:rsidRDefault="001D121B" w:rsidP="001D121B">
            <w:pPr>
              <w:spacing w:line="240" w:lineRule="auto"/>
              <w:rPr>
                <w:rFonts w:ascii="Times New Roman" w:hAnsi="Times New Roman" w:cs="Times New Roman"/>
                <w:sz w:val="24"/>
                <w:szCs w:val="24"/>
              </w:rPr>
            </w:pPr>
            <w:r w:rsidRPr="001A5100">
              <w:rPr>
                <w:rFonts w:ascii="Times New Roman" w:hAnsi="Times New Roman" w:cs="Times New Roman"/>
                <w:sz w:val="24"/>
                <w:szCs w:val="24"/>
              </w:rPr>
              <w:t>Pesticidy</w:t>
            </w:r>
          </w:p>
          <w:p w:rsidR="001D121B" w:rsidRPr="001A5100" w:rsidRDefault="001D121B" w:rsidP="001D121B">
            <w:pPr>
              <w:spacing w:line="240" w:lineRule="auto"/>
              <w:rPr>
                <w:rFonts w:ascii="Times New Roman" w:hAnsi="Times New Roman" w:cs="Times New Roman"/>
                <w:sz w:val="24"/>
                <w:szCs w:val="24"/>
              </w:rPr>
            </w:pPr>
            <w:r w:rsidRPr="001A5100">
              <w:rPr>
                <w:rFonts w:ascii="Times New Roman" w:hAnsi="Times New Roman" w:cs="Times New Roman"/>
                <w:sz w:val="24"/>
                <w:szCs w:val="24"/>
              </w:rPr>
              <w:t>DDT, DDD, DDE</w:t>
            </w:r>
          </w:p>
          <w:p w:rsidR="001D121B" w:rsidRPr="001A5100" w:rsidRDefault="001D121B" w:rsidP="001D121B">
            <w:pPr>
              <w:spacing w:line="240" w:lineRule="auto"/>
              <w:rPr>
                <w:rFonts w:ascii="Times New Roman" w:hAnsi="Times New Roman" w:cs="Times New Roman"/>
                <w:sz w:val="24"/>
                <w:szCs w:val="24"/>
              </w:rPr>
            </w:pPr>
          </w:p>
          <w:p w:rsidR="001D121B" w:rsidRPr="001A5100" w:rsidRDefault="001D121B" w:rsidP="001D121B">
            <w:pPr>
              <w:spacing w:line="240" w:lineRule="auto"/>
              <w:rPr>
                <w:rFonts w:ascii="Times New Roman" w:hAnsi="Times New Roman" w:cs="Times New Roman"/>
                <w:sz w:val="24"/>
                <w:szCs w:val="24"/>
              </w:rPr>
            </w:pPr>
            <w:r w:rsidRPr="001A5100">
              <w:rPr>
                <w:rFonts w:ascii="Times New Roman" w:hAnsi="Times New Roman" w:cs="Times New Roman"/>
                <w:sz w:val="24"/>
                <w:szCs w:val="24"/>
              </w:rPr>
              <w:t>Ostatní</w:t>
            </w:r>
          </w:p>
          <w:p w:rsidR="001D121B" w:rsidRPr="001A5100" w:rsidRDefault="001D121B" w:rsidP="001D121B">
            <w:pPr>
              <w:spacing w:line="240" w:lineRule="auto"/>
              <w:rPr>
                <w:rFonts w:ascii="Times New Roman" w:hAnsi="Times New Roman" w:cs="Times New Roman"/>
                <w:sz w:val="24"/>
                <w:szCs w:val="24"/>
              </w:rPr>
            </w:pPr>
            <w:r w:rsidRPr="001A5100">
              <w:rPr>
                <w:rFonts w:ascii="Times New Roman" w:hAnsi="Times New Roman" w:cs="Times New Roman"/>
                <w:sz w:val="24"/>
                <w:szCs w:val="24"/>
              </w:rPr>
              <w:t>styren, nepolární extrahovatelné látky (ropné znečištění)</w:t>
            </w:r>
          </w:p>
        </w:tc>
      </w:tr>
    </w:tbl>
    <w:p w:rsidR="001D121B" w:rsidRPr="001A5100" w:rsidRDefault="001D121B" w:rsidP="001D121B">
      <w:pPr>
        <w:pStyle w:val="Nzev"/>
        <w:spacing w:before="120" w:after="120"/>
        <w:jc w:val="left"/>
        <w:rPr>
          <w:b w:val="0"/>
        </w:rPr>
      </w:pPr>
      <w:r>
        <w:rPr>
          <w:b w:val="0"/>
        </w:rPr>
        <w:t xml:space="preserve">Tento výčet rizikových látek byl převzat do legislativy, a to již do vyhlášky MŽP č. 13/1994 Sb., konkrétní hodnoty však nebyly pro naše zemědělské půdy relevantní. Problémy se týkaly zejména obsahů jednotlivých sloučenin ze skupiny polycyklických aromatických uhlovodíků (PAU), kde jejich limitní koncentrace byly nižší, než jejich reálné </w:t>
      </w:r>
      <w:proofErr w:type="spellStart"/>
      <w:r>
        <w:rPr>
          <w:b w:val="0"/>
        </w:rPr>
        <w:t>pozaďové</w:t>
      </w:r>
      <w:proofErr w:type="spellEnd"/>
      <w:r>
        <w:rPr>
          <w:b w:val="0"/>
        </w:rPr>
        <w:t xml:space="preserve"> hodnoty v zemědělských půdách (v době návrhu limitních hodnot ještě nebyly známé), což vedlo k případům účelového zneužití vyhlášky. Některými subjekty, velmi dobře obeznámenými s problematikou, pak byly vyžadovány úlevy z poplatků za vyjmutí půdy ze ZPF, z důvodů „prokázané kontaminace“. Ve vyhlášce č. 153/2016 Sb., jsou již hodnoty korigovány a výčet sledovaných látek nebyl změněn s tím, že v případě PAU je uveden pouze limit pro sumu PAU, nikoliv již pro jednotlivé sloučeniny. Pouze u indikačních hodnot přímého ohrožení lidského zdraví je uveden limit i pro </w:t>
      </w:r>
      <w:proofErr w:type="spellStart"/>
      <w:proofErr w:type="gramStart"/>
      <w:r>
        <w:rPr>
          <w:b w:val="0"/>
        </w:rPr>
        <w:t>benzo</w:t>
      </w:r>
      <w:proofErr w:type="spellEnd"/>
      <w:r>
        <w:rPr>
          <w:b w:val="0"/>
        </w:rPr>
        <w:t>(a)pyren</w:t>
      </w:r>
      <w:proofErr w:type="gramEnd"/>
      <w:r>
        <w:rPr>
          <w:b w:val="0"/>
        </w:rPr>
        <w:t xml:space="preserve">, jako nejtoxičtější sloučeninu ze skupiny PAU.   </w:t>
      </w:r>
    </w:p>
    <w:p w:rsidR="001D121B" w:rsidRDefault="001D121B" w:rsidP="001D121B">
      <w:pPr>
        <w:pStyle w:val="Nzev"/>
        <w:spacing w:after="120"/>
        <w:jc w:val="left"/>
        <w:rPr>
          <w:b w:val="0"/>
        </w:rPr>
      </w:pPr>
      <w:r>
        <w:rPr>
          <w:b w:val="0"/>
        </w:rPr>
        <w:t xml:space="preserve">Při hodnocení obsahů POP v prostředí je situace relativně odlišná od hodnocení rizikových prvků. V první řadě se nerozlišuje přirozené pozadí a antropogenní zátěž. Je to dáno faktem, že podíl přirozeného pozadí je považován za málo významný, ve srovnání s antropogenními vstupy, dále není v možnostech analytiky přirozené a antropogenní vstupy důsledněji rozlišit. Zajímavostí je, že např. dříve používané stanoveni nepolárních extrahovatelných látek (NEL), které bylo využíváno jako indikátor ropného znečištění, bylo nahrazeno stanovením obsahů uhlovodíků C10-C40, a to právě z důvodu, že v případě NEL docházelo k významnému zkreslení výsledků zvýšeným přirozeným pozadím za specifických podmínek (tlení listí v podzimním období apod.). </w:t>
      </w:r>
    </w:p>
    <w:p w:rsidR="001D121B" w:rsidRDefault="001D121B" w:rsidP="001D121B">
      <w:pPr>
        <w:pStyle w:val="Nzev"/>
        <w:spacing w:after="120"/>
        <w:jc w:val="left"/>
        <w:rPr>
          <w:b w:val="0"/>
        </w:rPr>
      </w:pPr>
      <w:r>
        <w:rPr>
          <w:b w:val="0"/>
        </w:rPr>
        <w:t>Dále se v případě POP pracuje převážně s jejich celkovými obsahy, některé práce se však zaměřují i na rozlišení tzv. biologicky přístupných obsahů. Hodnocení celkových obsahů je ovšem relativně komplikovanější, pokud hodnotíme obsahy celé skupiny POP, např. PAU, PCB, PCDD/F atd. Používají se následující přístupy:</w:t>
      </w:r>
    </w:p>
    <w:p w:rsidR="001D121B" w:rsidRPr="00A72B93" w:rsidRDefault="001D121B" w:rsidP="001D121B">
      <w:pPr>
        <w:spacing w:after="120" w:line="240" w:lineRule="auto"/>
        <w:rPr>
          <w:rFonts w:ascii="Times New Roman" w:hAnsi="Times New Roman" w:cs="Times New Roman"/>
          <w:sz w:val="24"/>
          <w:szCs w:val="24"/>
        </w:rPr>
      </w:pPr>
      <w:r>
        <w:rPr>
          <w:rFonts w:ascii="Times New Roman" w:hAnsi="Times New Roman" w:cs="Times New Roman"/>
          <w:iCs/>
          <w:sz w:val="24"/>
          <w:szCs w:val="24"/>
        </w:rPr>
        <w:t>H</w:t>
      </w:r>
      <w:r w:rsidRPr="00A72B93">
        <w:rPr>
          <w:rFonts w:ascii="Times New Roman" w:hAnsi="Times New Roman" w:cs="Times New Roman"/>
          <w:iCs/>
          <w:sz w:val="24"/>
          <w:szCs w:val="24"/>
        </w:rPr>
        <w:t>odnocení koncentrace obsahu jednotlivých sloučenin.</w:t>
      </w:r>
      <w:r w:rsidRPr="00A72B93">
        <w:rPr>
          <w:rFonts w:ascii="Times New Roman" w:hAnsi="Times New Roman" w:cs="Times New Roman"/>
          <w:sz w:val="24"/>
          <w:szCs w:val="24"/>
        </w:rPr>
        <w:t xml:space="preserve"> Tento přístup je </w:t>
      </w:r>
      <w:r>
        <w:rPr>
          <w:rFonts w:ascii="Times New Roman" w:hAnsi="Times New Roman" w:cs="Times New Roman"/>
          <w:sz w:val="24"/>
          <w:szCs w:val="24"/>
        </w:rPr>
        <w:t>základem</w:t>
      </w:r>
      <w:r w:rsidRPr="00A72B93">
        <w:rPr>
          <w:rFonts w:ascii="Times New Roman" w:hAnsi="Times New Roman" w:cs="Times New Roman"/>
          <w:sz w:val="24"/>
          <w:szCs w:val="24"/>
        </w:rPr>
        <w:t xml:space="preserve">, </w:t>
      </w:r>
      <w:r>
        <w:rPr>
          <w:rFonts w:ascii="Times New Roman" w:hAnsi="Times New Roman" w:cs="Times New Roman"/>
          <w:sz w:val="24"/>
          <w:szCs w:val="24"/>
        </w:rPr>
        <w:t>avšak ne ve všech případech jsou k dispozici srovnávací nebo limitní hodnoty pro každou sloučeninu, problém nastává při hodnocení celkového dopadu zátěže v rámci skupin POP.</w:t>
      </w:r>
    </w:p>
    <w:p w:rsidR="001D121B" w:rsidRPr="00A72B93" w:rsidRDefault="001D121B" w:rsidP="001D121B">
      <w:pPr>
        <w:spacing w:after="120" w:line="240" w:lineRule="auto"/>
        <w:rPr>
          <w:rFonts w:ascii="Times New Roman" w:hAnsi="Times New Roman" w:cs="Times New Roman"/>
          <w:sz w:val="24"/>
          <w:szCs w:val="24"/>
        </w:rPr>
      </w:pPr>
      <w:r>
        <w:rPr>
          <w:rFonts w:ascii="Times New Roman" w:hAnsi="Times New Roman" w:cs="Times New Roman"/>
          <w:iCs/>
          <w:sz w:val="24"/>
          <w:szCs w:val="24"/>
        </w:rPr>
        <w:t>Vyhodnocení sumárních obsahů, které se využívá při hodnocení zátěže jednotlivých</w:t>
      </w:r>
      <w:r w:rsidRPr="00A72B93">
        <w:rPr>
          <w:rFonts w:ascii="Times New Roman" w:hAnsi="Times New Roman" w:cs="Times New Roman"/>
          <w:sz w:val="24"/>
          <w:szCs w:val="24"/>
        </w:rPr>
        <w:t xml:space="preserve"> skupin POP, např. BTEX (suma monocyklických aromátů benzenu, toluenu, etylbenzenu a xylenu), suma indikačních </w:t>
      </w:r>
      <w:proofErr w:type="spellStart"/>
      <w:r w:rsidRPr="00A72B93">
        <w:rPr>
          <w:rFonts w:ascii="Times New Roman" w:hAnsi="Times New Roman" w:cs="Times New Roman"/>
          <w:sz w:val="24"/>
          <w:szCs w:val="24"/>
        </w:rPr>
        <w:t>kongenerů</w:t>
      </w:r>
      <w:proofErr w:type="spellEnd"/>
      <w:r w:rsidRPr="00A72B93">
        <w:rPr>
          <w:rFonts w:ascii="Times New Roman" w:hAnsi="Times New Roman" w:cs="Times New Roman"/>
          <w:sz w:val="24"/>
          <w:szCs w:val="24"/>
        </w:rPr>
        <w:t xml:space="preserve"> PCB, v současné době nejčastěji sedmi </w:t>
      </w:r>
      <w:proofErr w:type="spellStart"/>
      <w:r w:rsidRPr="00A72B93">
        <w:rPr>
          <w:rFonts w:ascii="Times New Roman" w:hAnsi="Times New Roman" w:cs="Times New Roman"/>
          <w:sz w:val="24"/>
          <w:szCs w:val="24"/>
        </w:rPr>
        <w:t>kongenerů</w:t>
      </w:r>
      <w:proofErr w:type="spellEnd"/>
      <w:r w:rsidRPr="00A72B93">
        <w:rPr>
          <w:rFonts w:ascii="Times New Roman" w:hAnsi="Times New Roman" w:cs="Times New Roman"/>
          <w:sz w:val="24"/>
          <w:szCs w:val="24"/>
        </w:rPr>
        <w:t xml:space="preserve"> (28,52, 101, 118, 138, 153, 180), udávaná jako PCB7, suma PAU – polycyklických aromatických uhlovodíků, obsahujících zpravidla 13-16 sloučenin, suma polychlorovaných </w:t>
      </w:r>
      <w:proofErr w:type="spellStart"/>
      <w:r w:rsidRPr="00A72B93">
        <w:rPr>
          <w:rFonts w:ascii="Times New Roman" w:hAnsi="Times New Roman" w:cs="Times New Roman"/>
          <w:sz w:val="24"/>
          <w:szCs w:val="24"/>
        </w:rPr>
        <w:t>dibenzo</w:t>
      </w:r>
      <w:proofErr w:type="spellEnd"/>
      <w:r w:rsidRPr="00A72B93">
        <w:rPr>
          <w:rFonts w:ascii="Times New Roman" w:hAnsi="Times New Roman" w:cs="Times New Roman"/>
          <w:sz w:val="24"/>
          <w:szCs w:val="24"/>
        </w:rPr>
        <w:t xml:space="preserve">-p-dioxinů a </w:t>
      </w:r>
      <w:proofErr w:type="spellStart"/>
      <w:r w:rsidRPr="00A72B93">
        <w:rPr>
          <w:rFonts w:ascii="Times New Roman" w:hAnsi="Times New Roman" w:cs="Times New Roman"/>
          <w:sz w:val="24"/>
          <w:szCs w:val="24"/>
        </w:rPr>
        <w:t>dibenzofuranů</w:t>
      </w:r>
      <w:proofErr w:type="spellEnd"/>
      <w:r w:rsidRPr="00A72B93">
        <w:rPr>
          <w:rFonts w:ascii="Times New Roman" w:hAnsi="Times New Roman" w:cs="Times New Roman"/>
          <w:sz w:val="24"/>
          <w:szCs w:val="24"/>
        </w:rPr>
        <w:t xml:space="preserve"> (PCDD/F), zahrnujíc</w:t>
      </w:r>
      <w:r>
        <w:rPr>
          <w:rFonts w:ascii="Times New Roman" w:hAnsi="Times New Roman" w:cs="Times New Roman"/>
          <w:sz w:val="24"/>
          <w:szCs w:val="24"/>
        </w:rPr>
        <w:t xml:space="preserve">í 16 nejtoxičtějších </w:t>
      </w:r>
      <w:proofErr w:type="spellStart"/>
      <w:r>
        <w:rPr>
          <w:rFonts w:ascii="Times New Roman" w:hAnsi="Times New Roman" w:cs="Times New Roman"/>
          <w:sz w:val="24"/>
          <w:szCs w:val="24"/>
        </w:rPr>
        <w:t>kongenerů</w:t>
      </w:r>
      <w:proofErr w:type="spellEnd"/>
      <w:r w:rsidRPr="00A72B93">
        <w:rPr>
          <w:rFonts w:ascii="Times New Roman" w:hAnsi="Times New Roman" w:cs="Times New Roman"/>
          <w:sz w:val="24"/>
          <w:szCs w:val="24"/>
        </w:rPr>
        <w:t xml:space="preserve">. </w:t>
      </w:r>
      <w:r>
        <w:rPr>
          <w:rFonts w:ascii="Times New Roman" w:hAnsi="Times New Roman" w:cs="Times New Roman"/>
          <w:sz w:val="24"/>
          <w:szCs w:val="24"/>
        </w:rPr>
        <w:t>Srovnávací či l</w:t>
      </w:r>
      <w:r w:rsidRPr="00A72B93">
        <w:rPr>
          <w:rFonts w:ascii="Times New Roman" w:hAnsi="Times New Roman" w:cs="Times New Roman"/>
          <w:sz w:val="24"/>
          <w:szCs w:val="24"/>
        </w:rPr>
        <w:t>imitní hodnot</w:t>
      </w:r>
      <w:r>
        <w:rPr>
          <w:rFonts w:ascii="Times New Roman" w:hAnsi="Times New Roman" w:cs="Times New Roman"/>
          <w:sz w:val="24"/>
          <w:szCs w:val="24"/>
        </w:rPr>
        <w:t>y</w:t>
      </w:r>
      <w:r w:rsidRPr="00A72B93">
        <w:rPr>
          <w:rFonts w:ascii="Times New Roman" w:hAnsi="Times New Roman" w:cs="Times New Roman"/>
          <w:sz w:val="24"/>
          <w:szCs w:val="24"/>
        </w:rPr>
        <w:t xml:space="preserve"> pro sumární obsahy sloučenin</w:t>
      </w:r>
      <w:r>
        <w:rPr>
          <w:rFonts w:ascii="Times New Roman" w:hAnsi="Times New Roman" w:cs="Times New Roman"/>
          <w:sz w:val="24"/>
          <w:szCs w:val="24"/>
        </w:rPr>
        <w:t xml:space="preserve"> bývají zpravidla k dispozici</w:t>
      </w:r>
      <w:r w:rsidRPr="00A72B93">
        <w:rPr>
          <w:rFonts w:ascii="Times New Roman" w:hAnsi="Times New Roman" w:cs="Times New Roman"/>
          <w:sz w:val="24"/>
          <w:szCs w:val="24"/>
        </w:rPr>
        <w:t xml:space="preserve">. </w:t>
      </w:r>
      <w:r>
        <w:rPr>
          <w:rFonts w:ascii="Times New Roman" w:hAnsi="Times New Roman" w:cs="Times New Roman"/>
          <w:sz w:val="24"/>
          <w:szCs w:val="24"/>
        </w:rPr>
        <w:t xml:space="preserve">Problematickým však může být bližší </w:t>
      </w:r>
      <w:r w:rsidRPr="00A72B93">
        <w:rPr>
          <w:rFonts w:ascii="Times New Roman" w:hAnsi="Times New Roman" w:cs="Times New Roman"/>
          <w:sz w:val="24"/>
          <w:szCs w:val="24"/>
        </w:rPr>
        <w:t xml:space="preserve">posouzení rizika, </w:t>
      </w:r>
      <w:r>
        <w:rPr>
          <w:rFonts w:ascii="Times New Roman" w:hAnsi="Times New Roman" w:cs="Times New Roman"/>
          <w:sz w:val="24"/>
          <w:szCs w:val="24"/>
        </w:rPr>
        <w:t>protože</w:t>
      </w:r>
      <w:r w:rsidRPr="00A72B93">
        <w:rPr>
          <w:rFonts w:ascii="Times New Roman" w:hAnsi="Times New Roman" w:cs="Times New Roman"/>
          <w:sz w:val="24"/>
          <w:szCs w:val="24"/>
        </w:rPr>
        <w:t xml:space="preserve"> v rámci sumárních obsahů se sčítají koncentrace lá</w:t>
      </w:r>
      <w:r>
        <w:rPr>
          <w:rFonts w:ascii="Times New Roman" w:hAnsi="Times New Roman" w:cs="Times New Roman"/>
          <w:sz w:val="24"/>
          <w:szCs w:val="24"/>
        </w:rPr>
        <w:t>tek s vysokou i nižší toxicitou</w:t>
      </w:r>
      <w:r w:rsidRPr="00A72B93">
        <w:rPr>
          <w:rFonts w:ascii="Times New Roman" w:hAnsi="Times New Roman" w:cs="Times New Roman"/>
          <w:sz w:val="24"/>
          <w:szCs w:val="24"/>
        </w:rPr>
        <w:t xml:space="preserve">. </w:t>
      </w:r>
    </w:p>
    <w:p w:rsidR="001D121B" w:rsidRPr="00DA18E6" w:rsidRDefault="001D121B" w:rsidP="001D121B">
      <w:pPr>
        <w:spacing w:before="120" w:after="120" w:line="240" w:lineRule="auto"/>
        <w:rPr>
          <w:rFonts w:ascii="Times New Roman" w:hAnsi="Times New Roman" w:cs="Times New Roman"/>
          <w:sz w:val="24"/>
          <w:szCs w:val="24"/>
        </w:rPr>
      </w:pPr>
      <w:r w:rsidRPr="00DA18E6">
        <w:rPr>
          <w:rFonts w:ascii="Times New Roman" w:hAnsi="Times New Roman" w:cs="Times New Roman"/>
          <w:iCs/>
          <w:sz w:val="24"/>
          <w:szCs w:val="24"/>
        </w:rPr>
        <w:t xml:space="preserve">Vyhodnocení </w:t>
      </w:r>
      <w:proofErr w:type="spellStart"/>
      <w:r w:rsidRPr="00DA18E6">
        <w:rPr>
          <w:rFonts w:ascii="Times New Roman" w:hAnsi="Times New Roman" w:cs="Times New Roman"/>
          <w:iCs/>
          <w:sz w:val="24"/>
          <w:szCs w:val="24"/>
        </w:rPr>
        <w:t>ekvivalentových</w:t>
      </w:r>
      <w:proofErr w:type="spellEnd"/>
      <w:r w:rsidRPr="00DA18E6">
        <w:rPr>
          <w:rFonts w:ascii="Times New Roman" w:hAnsi="Times New Roman" w:cs="Times New Roman"/>
          <w:iCs/>
          <w:sz w:val="24"/>
          <w:szCs w:val="24"/>
        </w:rPr>
        <w:t xml:space="preserve"> faktorů toxicity</w:t>
      </w:r>
      <w:r>
        <w:rPr>
          <w:rFonts w:ascii="Times New Roman" w:hAnsi="Times New Roman" w:cs="Times New Roman"/>
          <w:iCs/>
          <w:sz w:val="24"/>
          <w:szCs w:val="24"/>
        </w:rPr>
        <w:t xml:space="preserve"> </w:t>
      </w:r>
      <w:r w:rsidRPr="00A72B93">
        <w:rPr>
          <w:rFonts w:ascii="Times New Roman" w:hAnsi="Times New Roman" w:cs="Times New Roman"/>
          <w:sz w:val="24"/>
          <w:szCs w:val="24"/>
        </w:rPr>
        <w:t>je založen</w:t>
      </w:r>
      <w:r>
        <w:rPr>
          <w:rFonts w:ascii="Times New Roman" w:hAnsi="Times New Roman" w:cs="Times New Roman"/>
          <w:sz w:val="24"/>
          <w:szCs w:val="24"/>
        </w:rPr>
        <w:t>o</w:t>
      </w:r>
      <w:r w:rsidRPr="00A72B93">
        <w:rPr>
          <w:rFonts w:ascii="Times New Roman" w:hAnsi="Times New Roman" w:cs="Times New Roman"/>
          <w:sz w:val="24"/>
          <w:szCs w:val="24"/>
        </w:rPr>
        <w:t xml:space="preserve"> na principu sumárních obsahů s tím, že je zohledněna </w:t>
      </w:r>
      <w:r>
        <w:rPr>
          <w:rFonts w:ascii="Times New Roman" w:hAnsi="Times New Roman" w:cs="Times New Roman"/>
          <w:sz w:val="24"/>
          <w:szCs w:val="24"/>
        </w:rPr>
        <w:t>toxicita jednotliv</w:t>
      </w:r>
      <w:r w:rsidRPr="00A72B93">
        <w:rPr>
          <w:rFonts w:ascii="Times New Roman" w:hAnsi="Times New Roman" w:cs="Times New Roman"/>
          <w:sz w:val="24"/>
          <w:szCs w:val="24"/>
        </w:rPr>
        <w:t xml:space="preserve">ých sloučenin, </w:t>
      </w:r>
      <w:r>
        <w:rPr>
          <w:rFonts w:ascii="Times New Roman" w:hAnsi="Times New Roman" w:cs="Times New Roman"/>
          <w:sz w:val="24"/>
          <w:szCs w:val="24"/>
        </w:rPr>
        <w:t>která je založena na hodnocení jejich</w:t>
      </w:r>
      <w:r w:rsidRPr="00A72B93">
        <w:rPr>
          <w:rFonts w:ascii="Times New Roman" w:hAnsi="Times New Roman" w:cs="Times New Roman"/>
          <w:sz w:val="24"/>
          <w:szCs w:val="24"/>
        </w:rPr>
        <w:t xml:space="preserve"> karcinogenních vlastností (</w:t>
      </w:r>
      <w:r>
        <w:rPr>
          <w:rFonts w:ascii="Times New Roman" w:hAnsi="Times New Roman" w:cs="Times New Roman"/>
          <w:sz w:val="24"/>
          <w:szCs w:val="24"/>
        </w:rPr>
        <w:t>metodika</w:t>
      </w:r>
      <w:r w:rsidRPr="00A72B93">
        <w:rPr>
          <w:rFonts w:ascii="Times New Roman" w:hAnsi="Times New Roman" w:cs="Times New Roman"/>
          <w:sz w:val="24"/>
          <w:szCs w:val="24"/>
        </w:rPr>
        <w:t xml:space="preserve"> WHO). Jednotlivým látkám, s karcinogenním účinkem, je přiřazen toxický ekvivalent, jehož nejvyšší hodnota se rovná 1, </w:t>
      </w:r>
      <w:r>
        <w:rPr>
          <w:rFonts w:ascii="Times New Roman" w:hAnsi="Times New Roman" w:cs="Times New Roman"/>
          <w:sz w:val="24"/>
          <w:szCs w:val="24"/>
        </w:rPr>
        <w:t>méně toxické sloučeniny pak mají toxický faktor nižší o jeden až dva řády</w:t>
      </w:r>
      <w:r w:rsidRPr="00A72B93">
        <w:rPr>
          <w:rFonts w:ascii="Times New Roman" w:hAnsi="Times New Roman" w:cs="Times New Roman"/>
          <w:sz w:val="24"/>
          <w:szCs w:val="24"/>
        </w:rPr>
        <w:t>. Součtem násobků koncentrací, násobených uvedeným faktorem, je získána konečná hodnota, které je v případě PCDD/F nebo PCB známá jako mezinárodní faktor toxicity, značený jako I-TEQ</w:t>
      </w:r>
      <w:r>
        <w:rPr>
          <w:rFonts w:ascii="Times New Roman" w:hAnsi="Times New Roman" w:cs="Times New Roman"/>
          <w:sz w:val="24"/>
          <w:szCs w:val="24"/>
        </w:rPr>
        <w:t xml:space="preserve"> nebo nověji TEQ (toxické </w:t>
      </w:r>
      <w:proofErr w:type="spellStart"/>
      <w:r>
        <w:rPr>
          <w:rFonts w:ascii="Times New Roman" w:hAnsi="Times New Roman" w:cs="Times New Roman"/>
          <w:sz w:val="24"/>
          <w:szCs w:val="24"/>
        </w:rPr>
        <w:t>ekvivalentové</w:t>
      </w:r>
      <w:proofErr w:type="spellEnd"/>
      <w:r>
        <w:rPr>
          <w:rFonts w:ascii="Times New Roman" w:hAnsi="Times New Roman" w:cs="Times New Roman"/>
          <w:sz w:val="24"/>
          <w:szCs w:val="24"/>
        </w:rPr>
        <w:t xml:space="preserve"> množství) dle aktualizovaného přepočtu WHO, sníženy byly hodnoty </w:t>
      </w:r>
      <w:proofErr w:type="spellStart"/>
      <w:r>
        <w:rPr>
          <w:rFonts w:ascii="Times New Roman" w:hAnsi="Times New Roman" w:cs="Times New Roman"/>
          <w:sz w:val="24"/>
          <w:szCs w:val="24"/>
        </w:rPr>
        <w:t>ekvivalentových</w:t>
      </w:r>
      <w:proofErr w:type="spellEnd"/>
      <w:r>
        <w:rPr>
          <w:rFonts w:ascii="Times New Roman" w:hAnsi="Times New Roman" w:cs="Times New Roman"/>
          <w:sz w:val="24"/>
          <w:szCs w:val="24"/>
        </w:rPr>
        <w:t xml:space="preserve"> faktorů pro méně toxické sloučeniny téměř o jeden řád.</w:t>
      </w:r>
      <w:r w:rsidRPr="00A72B93">
        <w:rPr>
          <w:rFonts w:ascii="Times New Roman" w:hAnsi="Times New Roman" w:cs="Times New Roman"/>
          <w:sz w:val="24"/>
          <w:szCs w:val="24"/>
        </w:rPr>
        <w:t xml:space="preserve"> Ve skupině PCDD/F je např. nejtoxičtějším zástupcem 2,3,7,8 </w:t>
      </w:r>
      <w:proofErr w:type="spellStart"/>
      <w:r w:rsidRPr="00A72B93">
        <w:rPr>
          <w:rFonts w:ascii="Times New Roman" w:hAnsi="Times New Roman" w:cs="Times New Roman"/>
          <w:sz w:val="24"/>
          <w:szCs w:val="24"/>
        </w:rPr>
        <w:t>tetrachlordibenzo</w:t>
      </w:r>
      <w:proofErr w:type="spellEnd"/>
      <w:r w:rsidRPr="00A72B93">
        <w:rPr>
          <w:rFonts w:ascii="Times New Roman" w:hAnsi="Times New Roman" w:cs="Times New Roman"/>
          <w:sz w:val="24"/>
          <w:szCs w:val="24"/>
        </w:rPr>
        <w:t xml:space="preserve">-para-dioxin. Obdobný postup je užíván také u polycyklických aromatických uhlovodíků (PAU), kde nejtoxičtějším zástupcem je </w:t>
      </w:r>
      <w:proofErr w:type="spellStart"/>
      <w:proofErr w:type="gramStart"/>
      <w:r w:rsidRPr="00A72B93">
        <w:rPr>
          <w:rFonts w:ascii="Times New Roman" w:hAnsi="Times New Roman" w:cs="Times New Roman"/>
          <w:sz w:val="24"/>
          <w:szCs w:val="24"/>
        </w:rPr>
        <w:t>benzo</w:t>
      </w:r>
      <w:proofErr w:type="spellEnd"/>
      <w:r w:rsidRPr="00A72B93">
        <w:rPr>
          <w:rFonts w:ascii="Times New Roman" w:hAnsi="Times New Roman" w:cs="Times New Roman"/>
          <w:sz w:val="24"/>
          <w:szCs w:val="24"/>
        </w:rPr>
        <w:t>(a)pyren</w:t>
      </w:r>
      <w:proofErr w:type="gramEnd"/>
      <w:r w:rsidRPr="00A72B93">
        <w:rPr>
          <w:rFonts w:ascii="Times New Roman" w:hAnsi="Times New Roman" w:cs="Times New Roman"/>
          <w:sz w:val="24"/>
          <w:szCs w:val="24"/>
        </w:rPr>
        <w:t xml:space="preserve"> a </w:t>
      </w:r>
      <w:proofErr w:type="spellStart"/>
      <w:r>
        <w:rPr>
          <w:rFonts w:ascii="Times New Roman" w:hAnsi="Times New Roman" w:cs="Times New Roman"/>
          <w:sz w:val="24"/>
          <w:szCs w:val="24"/>
        </w:rPr>
        <w:t>dibenzo</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w:t>
      </w:r>
      <w:r w:rsidRPr="00A72B93">
        <w:rPr>
          <w:rFonts w:ascii="Times New Roman" w:hAnsi="Times New Roman" w:cs="Times New Roman"/>
          <w:sz w:val="24"/>
          <w:szCs w:val="24"/>
        </w:rPr>
        <w:t>h</w:t>
      </w:r>
      <w:proofErr w:type="spellEnd"/>
      <w:r>
        <w:rPr>
          <w:rFonts w:ascii="Times New Roman" w:hAnsi="Times New Roman" w:cs="Times New Roman"/>
          <w:sz w:val="24"/>
          <w:szCs w:val="24"/>
        </w:rPr>
        <w:t>)antracen, jehož koncentrace v prostředí jsou však výrazně nižší.</w:t>
      </w:r>
      <w:r w:rsidRPr="00A72B93">
        <w:rPr>
          <w:rFonts w:ascii="Times New Roman" w:hAnsi="Times New Roman" w:cs="Times New Roman"/>
          <w:sz w:val="24"/>
          <w:szCs w:val="24"/>
        </w:rPr>
        <w:t xml:space="preserve"> Výsledná hodnota</w:t>
      </w:r>
      <w:r>
        <w:rPr>
          <w:rFonts w:ascii="Times New Roman" w:hAnsi="Times New Roman" w:cs="Times New Roman"/>
          <w:sz w:val="24"/>
          <w:szCs w:val="24"/>
        </w:rPr>
        <w:t xml:space="preserve"> u PAU</w:t>
      </w:r>
      <w:r w:rsidRPr="00A72B93">
        <w:rPr>
          <w:rFonts w:ascii="Times New Roman" w:hAnsi="Times New Roman" w:cs="Times New Roman"/>
          <w:sz w:val="24"/>
          <w:szCs w:val="24"/>
        </w:rPr>
        <w:t xml:space="preserve"> se zpravidla uvádí jako suma toxických </w:t>
      </w:r>
      <w:proofErr w:type="spellStart"/>
      <w:r w:rsidRPr="00A72B93">
        <w:rPr>
          <w:rFonts w:ascii="Times New Roman" w:hAnsi="Times New Roman" w:cs="Times New Roman"/>
          <w:sz w:val="24"/>
          <w:szCs w:val="24"/>
        </w:rPr>
        <w:t>ekvivalentových</w:t>
      </w:r>
      <w:proofErr w:type="spellEnd"/>
      <w:r w:rsidRPr="00A72B93">
        <w:rPr>
          <w:rFonts w:ascii="Times New Roman" w:hAnsi="Times New Roman" w:cs="Times New Roman"/>
          <w:sz w:val="24"/>
          <w:szCs w:val="24"/>
        </w:rPr>
        <w:t xml:space="preserve"> faktorů - TEF PAU. </w:t>
      </w:r>
      <w:r>
        <w:rPr>
          <w:b/>
        </w:rPr>
        <w:t xml:space="preserve">  </w:t>
      </w:r>
    </w:p>
    <w:p w:rsidR="001D121B" w:rsidRDefault="001D121B" w:rsidP="001D121B">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Zvýšené obsahy POP v zemědělských půdách jsou nežádoucí, hodnocení převažujících rizik má ve srovnání s rizikovými prvky určité odlišnosti. Protože se jedná o komplikovanější organické molekuly, je jejich chování v půdním prostředí specifické jejich nízkou mobilitou a vysokou afinitou k půdní organické hmotě, obsah organického uhlíku ve formě </w:t>
      </w:r>
      <w:proofErr w:type="spellStart"/>
      <w:r>
        <w:rPr>
          <w:rFonts w:ascii="Times New Roman" w:hAnsi="Times New Roman" w:cs="Times New Roman"/>
          <w:sz w:val="24"/>
          <w:szCs w:val="24"/>
        </w:rPr>
        <w:t>Cox</w:t>
      </w:r>
      <w:proofErr w:type="spellEnd"/>
      <w:r>
        <w:rPr>
          <w:rFonts w:ascii="Times New Roman" w:hAnsi="Times New Roman" w:cs="Times New Roman"/>
          <w:sz w:val="24"/>
          <w:szCs w:val="24"/>
        </w:rPr>
        <w:t xml:space="preserve"> (udává obsah uhlíku v primární organické hmotě) je považován za určující. Přestup POP z půdy do rostlin se realizuje prostřednictvím:</w:t>
      </w:r>
    </w:p>
    <w:p w:rsidR="001D121B" w:rsidRPr="00522C1D" w:rsidRDefault="001D121B" w:rsidP="001D121B">
      <w:pPr>
        <w:numPr>
          <w:ilvl w:val="0"/>
          <w:numId w:val="17"/>
        </w:numPr>
        <w:spacing w:after="0" w:line="240" w:lineRule="auto"/>
        <w:rPr>
          <w:rFonts w:ascii="Times New Roman" w:hAnsi="Times New Roman" w:cs="Times New Roman"/>
          <w:sz w:val="24"/>
          <w:szCs w:val="24"/>
        </w:rPr>
      </w:pPr>
      <w:r w:rsidRPr="00522C1D">
        <w:rPr>
          <w:rFonts w:ascii="Times New Roman" w:hAnsi="Times New Roman" w:cs="Times New Roman"/>
          <w:sz w:val="24"/>
          <w:szCs w:val="24"/>
        </w:rPr>
        <w:t>Ulpíváním částic kontaminované půdy na povrchu rostlin</w:t>
      </w:r>
    </w:p>
    <w:p w:rsidR="001D121B" w:rsidRPr="00522C1D" w:rsidRDefault="001D121B" w:rsidP="001D121B">
      <w:pPr>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Záchytem</w:t>
      </w:r>
      <w:r w:rsidRPr="00522C1D">
        <w:rPr>
          <w:rFonts w:ascii="Times New Roman" w:hAnsi="Times New Roman" w:cs="Times New Roman"/>
          <w:sz w:val="24"/>
          <w:szCs w:val="24"/>
        </w:rPr>
        <w:t xml:space="preserve"> sloučenin POP na povrchu rostlin (listy) při jejich vytěkání z půdy do ovzduší</w:t>
      </w:r>
      <w:r>
        <w:rPr>
          <w:rFonts w:ascii="Times New Roman" w:hAnsi="Times New Roman" w:cs="Times New Roman"/>
          <w:sz w:val="24"/>
          <w:szCs w:val="24"/>
        </w:rPr>
        <w:t>.</w:t>
      </w:r>
    </w:p>
    <w:p w:rsidR="001D121B" w:rsidRPr="00522C1D" w:rsidRDefault="001D121B" w:rsidP="001D121B">
      <w:pPr>
        <w:numPr>
          <w:ilvl w:val="0"/>
          <w:numId w:val="17"/>
        </w:numPr>
        <w:spacing w:after="120" w:line="240" w:lineRule="auto"/>
        <w:ind w:left="357" w:hanging="357"/>
        <w:rPr>
          <w:rFonts w:ascii="Times New Roman" w:hAnsi="Times New Roman" w:cs="Times New Roman"/>
          <w:sz w:val="24"/>
          <w:szCs w:val="24"/>
        </w:rPr>
      </w:pPr>
      <w:r>
        <w:rPr>
          <w:rFonts w:ascii="Times New Roman" w:hAnsi="Times New Roman" w:cs="Times New Roman"/>
          <w:sz w:val="24"/>
          <w:szCs w:val="24"/>
        </w:rPr>
        <w:t>V</w:t>
      </w:r>
      <w:r w:rsidRPr="00522C1D">
        <w:rPr>
          <w:rFonts w:ascii="Times New Roman" w:hAnsi="Times New Roman" w:cs="Times New Roman"/>
          <w:sz w:val="24"/>
          <w:szCs w:val="24"/>
        </w:rPr>
        <w:t>stupem do rostlin transferovou cestou půda-rostlina přes kořeny rostlin.</w:t>
      </w:r>
    </w:p>
    <w:p w:rsidR="001D121B" w:rsidRDefault="001D121B" w:rsidP="001D121B">
      <w:pPr>
        <w:pStyle w:val="Nzev"/>
        <w:spacing w:after="120"/>
        <w:jc w:val="left"/>
        <w:rPr>
          <w:b w:val="0"/>
        </w:rPr>
      </w:pPr>
      <w:r>
        <w:rPr>
          <w:b w:val="0"/>
        </w:rPr>
        <w:t>V případě POP je považována mimokořenová cesta za převažující, vlastní transfer přes kořeny rostlin je omezený. Ve VÚMOP byl sledován vliv zvýšených obsahů polycyklických aromatických uhlovodíků (PAU) v půdě na jejich obsah v rostlinách (Vácha et al.</w:t>
      </w:r>
      <w:r w:rsidR="00BD7D2D">
        <w:rPr>
          <w:b w:val="0"/>
        </w:rPr>
        <w:t>,</w:t>
      </w:r>
      <w:r>
        <w:rPr>
          <w:b w:val="0"/>
        </w:rPr>
        <w:t xml:space="preserve"> 2008; Vácha et al.</w:t>
      </w:r>
      <w:r w:rsidR="00BD7D2D">
        <w:rPr>
          <w:b w:val="0"/>
        </w:rPr>
        <w:t>,</w:t>
      </w:r>
      <w:r>
        <w:rPr>
          <w:b w:val="0"/>
        </w:rPr>
        <w:t xml:space="preserve"> 2010). Byly využity polní </w:t>
      </w:r>
      <w:proofErr w:type="spellStart"/>
      <w:r>
        <w:rPr>
          <w:b w:val="0"/>
        </w:rPr>
        <w:t>mikroparcelkové</w:t>
      </w:r>
      <w:proofErr w:type="spellEnd"/>
      <w:r>
        <w:rPr>
          <w:b w:val="0"/>
        </w:rPr>
        <w:t xml:space="preserve">, nádobové a laboratorní extrakční pokusy s půdami kontaminovanými v reálných podmínkách (odběr kontaminované zeminy v terénu) a půdami s aplikací kalů ČOV s vysokými obsahy PAU. V extrakčních pokusech, kde byly použity identické zeminy, byl sledován vliv extrakčního činidla (voda, voda se sníženým pH přídavkem kyselin a roztok povrchově aktivních látek-smáčedel) na přestup PAU z půdy do roztoku. Bylo potvrzeno, že do půdního roztoku i do kořenů rostlin (svazků cévních) mohou přecházet jednodušší, dvoujaderné typy PAU, zatímco složitější sloučeniny byly pevněji vázány v půdním prostředí s vyšším obsahem půdní organické hmoty, avšak mohou se vázat na povrch kořenů rostlin (vazba na karoten a specifické organické sloučeniny). Volby vhodných plodin je proto na lokalitách se zvýšeným obsahem POP </w:t>
      </w:r>
      <w:r w:rsidRPr="00AC7CC6">
        <w:rPr>
          <w:b w:val="0"/>
        </w:rPr>
        <w:t>účinným opatřením. V případě aplikace povrchově aktivních látek do půdy byl zjištěn</w:t>
      </w:r>
      <w:r>
        <w:rPr>
          <w:b w:val="0"/>
        </w:rPr>
        <w:t xml:space="preserve"> výrazný vzestup přechodu jednodušších i složitějších PAU z půdy do roztoku, což může mít reálný dopad na mobilitu POP v půdách oblastí </w:t>
      </w:r>
      <w:proofErr w:type="spellStart"/>
      <w:r>
        <w:rPr>
          <w:b w:val="0"/>
        </w:rPr>
        <w:t>fluvizemí</w:t>
      </w:r>
      <w:proofErr w:type="spellEnd"/>
      <w:r>
        <w:rPr>
          <w:b w:val="0"/>
        </w:rPr>
        <w:t xml:space="preserve">, kam se dostává voda s potenciálně zvýšenými obsahy těchto látek (mycí prostředky), případně mohou být některé typy těchto látek využity v procesu </w:t>
      </w:r>
      <w:proofErr w:type="spellStart"/>
      <w:r>
        <w:rPr>
          <w:b w:val="0"/>
        </w:rPr>
        <w:t>remediací</w:t>
      </w:r>
      <w:proofErr w:type="spellEnd"/>
      <w:r>
        <w:rPr>
          <w:b w:val="0"/>
        </w:rPr>
        <w:t xml:space="preserve"> půd, zatížených PAU.</w:t>
      </w:r>
    </w:p>
    <w:p w:rsidR="001D121B" w:rsidRDefault="001D121B" w:rsidP="001D121B">
      <w:pPr>
        <w:pStyle w:val="Nzev"/>
        <w:jc w:val="left"/>
        <w:rPr>
          <w:b w:val="0"/>
        </w:rPr>
      </w:pPr>
      <w:r>
        <w:rPr>
          <w:b w:val="0"/>
        </w:rPr>
        <w:t xml:space="preserve">Zátěž zemědělských půd ČR POP byla ve VÚMOP poměrně podrobně monitorována </w:t>
      </w:r>
    </w:p>
    <w:p w:rsidR="001D121B" w:rsidRDefault="001D121B" w:rsidP="001D121B">
      <w:pPr>
        <w:pStyle w:val="Nzev"/>
        <w:spacing w:after="120"/>
        <w:jc w:val="left"/>
        <w:rPr>
          <w:b w:val="0"/>
        </w:rPr>
      </w:pPr>
      <w:r>
        <w:rPr>
          <w:b w:val="0"/>
        </w:rPr>
        <w:t>(Němeček et al.</w:t>
      </w:r>
      <w:r w:rsidR="00BD7D2D">
        <w:rPr>
          <w:b w:val="0"/>
        </w:rPr>
        <w:t>,</w:t>
      </w:r>
      <w:r>
        <w:rPr>
          <w:b w:val="0"/>
        </w:rPr>
        <w:t xml:space="preserve"> 1996; Podlešáková et al.</w:t>
      </w:r>
      <w:r w:rsidR="00BD7D2D">
        <w:rPr>
          <w:b w:val="0"/>
        </w:rPr>
        <w:t>,</w:t>
      </w:r>
      <w:r>
        <w:rPr>
          <w:b w:val="0"/>
        </w:rPr>
        <w:t xml:space="preserve"> 1998; Vácha et al.</w:t>
      </w:r>
      <w:r w:rsidR="00BD7D2D">
        <w:rPr>
          <w:b w:val="0"/>
        </w:rPr>
        <w:t>,</w:t>
      </w:r>
      <w:r>
        <w:rPr>
          <w:b w:val="0"/>
        </w:rPr>
        <w:t xml:space="preserve"> 2015). Bylo zjištěno, že na vstupech POP do půd se podílí zejména:</w:t>
      </w:r>
    </w:p>
    <w:p w:rsidR="001D121B" w:rsidRPr="00AC7CC6" w:rsidRDefault="001D121B" w:rsidP="001D121B">
      <w:pPr>
        <w:pStyle w:val="Odstavecseseznamem"/>
        <w:numPr>
          <w:ilvl w:val="0"/>
          <w:numId w:val="18"/>
        </w:numPr>
        <w:spacing w:after="120" w:line="240" w:lineRule="auto"/>
        <w:ind w:left="714" w:hanging="357"/>
        <w:rPr>
          <w:rFonts w:ascii="Times New Roman" w:hAnsi="Times New Roman" w:cs="Times New Roman"/>
          <w:sz w:val="24"/>
          <w:szCs w:val="24"/>
        </w:rPr>
      </w:pPr>
      <w:r w:rsidRPr="00AC7CC6">
        <w:rPr>
          <w:rFonts w:ascii="Times New Roman" w:hAnsi="Times New Roman" w:cs="Times New Roman"/>
          <w:sz w:val="24"/>
          <w:szCs w:val="24"/>
        </w:rPr>
        <w:t>imisní spady v oblastech zvýšeného výskytu průmyslu</w:t>
      </w:r>
    </w:p>
    <w:p w:rsidR="001D121B" w:rsidRPr="00AC7CC6" w:rsidRDefault="001D121B" w:rsidP="001D121B">
      <w:pPr>
        <w:pStyle w:val="Odstavecseseznamem"/>
        <w:numPr>
          <w:ilvl w:val="0"/>
          <w:numId w:val="18"/>
        </w:numPr>
        <w:spacing w:after="120" w:line="240" w:lineRule="auto"/>
        <w:ind w:left="714" w:hanging="357"/>
        <w:rPr>
          <w:rFonts w:ascii="Times New Roman" w:hAnsi="Times New Roman" w:cs="Times New Roman"/>
          <w:sz w:val="24"/>
          <w:szCs w:val="24"/>
        </w:rPr>
      </w:pPr>
      <w:r w:rsidRPr="00AC7CC6">
        <w:rPr>
          <w:rFonts w:ascii="Times New Roman" w:hAnsi="Times New Roman" w:cs="Times New Roman"/>
          <w:sz w:val="24"/>
          <w:szCs w:val="24"/>
        </w:rPr>
        <w:t xml:space="preserve">zátěže ze spalování tuhých paliv v </w:t>
      </w:r>
      <w:proofErr w:type="spellStart"/>
      <w:r w:rsidRPr="00AC7CC6">
        <w:rPr>
          <w:rFonts w:ascii="Times New Roman" w:hAnsi="Times New Roman" w:cs="Times New Roman"/>
          <w:sz w:val="24"/>
          <w:szCs w:val="24"/>
        </w:rPr>
        <w:t>intravilánech</w:t>
      </w:r>
      <w:proofErr w:type="spellEnd"/>
    </w:p>
    <w:p w:rsidR="001D121B" w:rsidRPr="00AC7CC6" w:rsidRDefault="001D121B" w:rsidP="001D121B">
      <w:pPr>
        <w:pStyle w:val="Odstavecseseznamem"/>
        <w:numPr>
          <w:ilvl w:val="0"/>
          <w:numId w:val="18"/>
        </w:numPr>
        <w:spacing w:after="120" w:line="240" w:lineRule="auto"/>
        <w:ind w:left="714" w:hanging="357"/>
        <w:rPr>
          <w:rFonts w:ascii="Times New Roman" w:hAnsi="Times New Roman" w:cs="Times New Roman"/>
          <w:sz w:val="24"/>
          <w:szCs w:val="24"/>
        </w:rPr>
      </w:pPr>
      <w:r w:rsidRPr="00AC7CC6">
        <w:rPr>
          <w:rFonts w:ascii="Times New Roman" w:hAnsi="Times New Roman" w:cs="Times New Roman"/>
          <w:sz w:val="24"/>
          <w:szCs w:val="24"/>
        </w:rPr>
        <w:t>kontaminované vody v inundačních pásmech některých řek</w:t>
      </w:r>
    </w:p>
    <w:p w:rsidR="001D121B" w:rsidRDefault="001D121B" w:rsidP="001D121B">
      <w:pPr>
        <w:pStyle w:val="Odstavecseseznamem"/>
        <w:numPr>
          <w:ilvl w:val="0"/>
          <w:numId w:val="18"/>
        </w:numPr>
        <w:spacing w:after="120" w:line="240" w:lineRule="auto"/>
        <w:ind w:left="714" w:hanging="357"/>
        <w:rPr>
          <w:rFonts w:ascii="Times New Roman" w:hAnsi="Times New Roman" w:cs="Times New Roman"/>
          <w:sz w:val="24"/>
          <w:szCs w:val="24"/>
        </w:rPr>
      </w:pPr>
      <w:r w:rsidRPr="00AC7CC6">
        <w:rPr>
          <w:rFonts w:ascii="Times New Roman" w:hAnsi="Times New Roman" w:cs="Times New Roman"/>
          <w:sz w:val="24"/>
          <w:szCs w:val="24"/>
        </w:rPr>
        <w:t>aplikace kalů ČOV a pesticidů na zemědělskou půdu</w:t>
      </w:r>
    </w:p>
    <w:p w:rsidR="00A948CA" w:rsidRPr="001D121B" w:rsidRDefault="001D121B" w:rsidP="001D121B">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Poměrně vysoká plošná zátěž PAU byla zjištěna v severomoravském imisním regionu, zvýšené obsahy PAU v půdách překračují plošně hodnoty preventivních limitů, výjimečně byly zjištěny i hodnoty překračující indikační limity přímého ohrožení lidského zdraví. Zvýšená imisní zátěž se projevuje ve vyšších nadmořských výškách, překročení preventivních limitů bylo pravidelně zjišťováno nejenom v severně položených horských pásmech (Krušné hory, Krkonoše, Orlické hory), ale také např. na Šumavě. Přímá vazba zátěže půd zejména PAU, ale i PCDD/F na lokální topeniště (spalování fosilních paliv, ale pravděpodobně i zcela nevhodných materiálů), zátěž se pak kumuluje v půdách v bezprostřední blízkosti obcí, včetně obcí venkova (zde hraje výraznou roli i konfigurace terénu). Překračovány jsou preventivní limity POP, nálezy koncentrací přes indikační limity přímého ohrožení lidského zdraví jsou výjimečné. Vypouštění odpadních vod a dalších zdrojů znečištění do vodních toků významně ovlivňuje zátěže </w:t>
      </w:r>
      <w:proofErr w:type="spellStart"/>
      <w:r>
        <w:rPr>
          <w:rFonts w:ascii="Times New Roman" w:hAnsi="Times New Roman" w:cs="Times New Roman"/>
          <w:sz w:val="24"/>
          <w:szCs w:val="24"/>
        </w:rPr>
        <w:t>fluvizemí</w:t>
      </w:r>
      <w:proofErr w:type="spellEnd"/>
      <w:r>
        <w:rPr>
          <w:rFonts w:ascii="Times New Roman" w:hAnsi="Times New Roman" w:cs="Times New Roman"/>
          <w:sz w:val="24"/>
          <w:szCs w:val="24"/>
        </w:rPr>
        <w:t>, zvýšené obsahy POP (PAU, BTEX, PCB, PCDD/F) byly analyzovány prakticky podél všech větších toků v ČR, pozitivní je však trend poklesu obsahu těchto látek v posledním desetiletí (překročení většinou pouze u preventivních limitů). Z pohledu vlastního zemědělství je nutné konstatovat stále zvýšenou zátěž půd DDT (nad úroveň preventivních limitů) a negativní dopad opakované aplikace kalů ČOV na zátěž půd PAU, ale i PCDD/F, tyto případy jsou však u nás výjimečné a těžko identifikovatelné, nicméně obdobná zjištění publikovali např. němečtí autoři (</w:t>
      </w:r>
      <w:proofErr w:type="spellStart"/>
      <w:r>
        <w:rPr>
          <w:rFonts w:ascii="Times New Roman" w:hAnsi="Times New Roman" w:cs="Times New Roman"/>
          <w:sz w:val="24"/>
          <w:szCs w:val="24"/>
        </w:rPr>
        <w:t>Markard</w:t>
      </w:r>
      <w:proofErr w:type="spellEnd"/>
      <w:r w:rsidR="00BD7D2D">
        <w:rPr>
          <w:rFonts w:ascii="Times New Roman" w:hAnsi="Times New Roman" w:cs="Times New Roman"/>
          <w:sz w:val="24"/>
          <w:szCs w:val="24"/>
        </w:rPr>
        <w:t>,</w:t>
      </w:r>
      <w:r>
        <w:rPr>
          <w:rFonts w:ascii="Times New Roman" w:hAnsi="Times New Roman" w:cs="Times New Roman"/>
          <w:sz w:val="24"/>
          <w:szCs w:val="24"/>
        </w:rPr>
        <w:t xml:space="preserve"> 1988).     </w:t>
      </w:r>
    </w:p>
    <w:p w:rsidR="00A948CA" w:rsidRDefault="00A948CA" w:rsidP="00A948CA">
      <w:pPr>
        <w:pStyle w:val="Nzev"/>
        <w:numPr>
          <w:ilvl w:val="1"/>
          <w:numId w:val="9"/>
        </w:numPr>
        <w:spacing w:after="120" w:line="360" w:lineRule="auto"/>
        <w:jc w:val="left"/>
        <w:rPr>
          <w:b w:val="0"/>
          <w:i/>
        </w:rPr>
      </w:pPr>
      <w:r>
        <w:rPr>
          <w:b w:val="0"/>
          <w:i/>
        </w:rPr>
        <w:t xml:space="preserve"> Přístupy k řešení limitních hodnot rizikových látek v půdě</w:t>
      </w:r>
    </w:p>
    <w:p w:rsidR="00A948CA" w:rsidRPr="00A948CA" w:rsidRDefault="00A948CA" w:rsidP="00A948CA">
      <w:pPr>
        <w:spacing w:after="120"/>
        <w:rPr>
          <w:rFonts w:ascii="Times New Roman" w:eastAsia="Times New Roman" w:hAnsi="Times New Roman" w:cs="Times New Roman"/>
          <w:sz w:val="24"/>
          <w:szCs w:val="20"/>
          <w:lang w:eastAsia="cs-CZ"/>
        </w:rPr>
      </w:pPr>
      <w:r w:rsidRPr="00A948CA">
        <w:rPr>
          <w:rFonts w:ascii="Times New Roman" w:eastAsia="Times New Roman" w:hAnsi="Times New Roman" w:cs="Times New Roman"/>
          <w:sz w:val="24"/>
          <w:szCs w:val="20"/>
          <w:lang w:eastAsia="cs-CZ"/>
        </w:rPr>
        <w:t>Většina vyspělých evropských i mimoevropských zemí preferuje v současné době složitější systém limitních hodnot, ve smyslu několikastupňových limitů</w:t>
      </w:r>
      <w:r>
        <w:rPr>
          <w:rFonts w:ascii="Times New Roman" w:eastAsia="Times New Roman" w:hAnsi="Times New Roman" w:cs="Times New Roman"/>
          <w:sz w:val="24"/>
          <w:szCs w:val="20"/>
          <w:lang w:eastAsia="cs-CZ"/>
        </w:rPr>
        <w:t xml:space="preserve"> (Vácha </w:t>
      </w:r>
      <w:r w:rsidR="00BD7D2D">
        <w:rPr>
          <w:rFonts w:ascii="Times New Roman" w:eastAsia="Times New Roman" w:hAnsi="Times New Roman" w:cs="Times New Roman"/>
          <w:sz w:val="24"/>
          <w:szCs w:val="20"/>
          <w:lang w:eastAsia="cs-CZ"/>
        </w:rPr>
        <w:t>et</w:t>
      </w:r>
      <w:r>
        <w:rPr>
          <w:rFonts w:ascii="Times New Roman" w:eastAsia="Times New Roman" w:hAnsi="Times New Roman" w:cs="Times New Roman"/>
          <w:sz w:val="24"/>
          <w:szCs w:val="20"/>
          <w:lang w:eastAsia="cs-CZ"/>
        </w:rPr>
        <w:t xml:space="preserve"> Sáňka, 2009)</w:t>
      </w:r>
      <w:r w:rsidRPr="00A948CA">
        <w:rPr>
          <w:rFonts w:ascii="Times New Roman" w:eastAsia="Times New Roman" w:hAnsi="Times New Roman" w:cs="Times New Roman"/>
          <w:sz w:val="24"/>
          <w:szCs w:val="20"/>
          <w:lang w:eastAsia="cs-CZ"/>
        </w:rPr>
        <w:t>. Stále platí, že se dají vymezit tři základní úrovně limitů:</w:t>
      </w:r>
    </w:p>
    <w:p w:rsidR="00A948CA" w:rsidRPr="00A948CA" w:rsidRDefault="00A948CA" w:rsidP="00A948CA">
      <w:pPr>
        <w:spacing w:after="120"/>
        <w:rPr>
          <w:rFonts w:ascii="Times New Roman" w:eastAsia="Times New Roman" w:hAnsi="Times New Roman" w:cs="Times New Roman"/>
          <w:sz w:val="24"/>
          <w:szCs w:val="20"/>
          <w:lang w:eastAsia="cs-CZ"/>
        </w:rPr>
      </w:pPr>
      <w:r w:rsidRPr="00A948CA">
        <w:rPr>
          <w:rFonts w:ascii="Times New Roman" w:eastAsia="Times New Roman" w:hAnsi="Times New Roman" w:cs="Times New Roman"/>
          <w:sz w:val="24"/>
          <w:szCs w:val="20"/>
          <w:lang w:eastAsia="cs-CZ"/>
        </w:rPr>
        <w:t xml:space="preserve">A – limity ve smyslu </w:t>
      </w:r>
      <w:proofErr w:type="spellStart"/>
      <w:r w:rsidRPr="00A948CA">
        <w:rPr>
          <w:rFonts w:ascii="Times New Roman" w:eastAsia="Times New Roman" w:hAnsi="Times New Roman" w:cs="Times New Roman"/>
          <w:sz w:val="24"/>
          <w:szCs w:val="20"/>
          <w:lang w:eastAsia="cs-CZ"/>
        </w:rPr>
        <w:t>pozaďových</w:t>
      </w:r>
      <w:proofErr w:type="spellEnd"/>
      <w:r w:rsidRPr="00A948CA">
        <w:rPr>
          <w:rFonts w:ascii="Times New Roman" w:eastAsia="Times New Roman" w:hAnsi="Times New Roman" w:cs="Times New Roman"/>
          <w:sz w:val="24"/>
          <w:szCs w:val="20"/>
          <w:lang w:eastAsia="cs-CZ"/>
        </w:rPr>
        <w:t xml:space="preserve"> hodnot „background </w:t>
      </w:r>
      <w:proofErr w:type="spellStart"/>
      <w:r w:rsidRPr="00A948CA">
        <w:rPr>
          <w:rFonts w:ascii="Times New Roman" w:eastAsia="Times New Roman" w:hAnsi="Times New Roman" w:cs="Times New Roman"/>
          <w:sz w:val="24"/>
          <w:szCs w:val="20"/>
          <w:lang w:eastAsia="cs-CZ"/>
        </w:rPr>
        <w:t>values</w:t>
      </w:r>
      <w:proofErr w:type="spellEnd"/>
      <w:r w:rsidRPr="00A948CA">
        <w:rPr>
          <w:rFonts w:ascii="Times New Roman" w:eastAsia="Times New Roman" w:hAnsi="Times New Roman" w:cs="Times New Roman"/>
          <w:sz w:val="24"/>
          <w:szCs w:val="20"/>
          <w:lang w:eastAsia="cs-CZ"/>
        </w:rPr>
        <w:t>“, stanovených na základě přírodního pozadí rizikových látek a antropogenně difúzního pozadí.</w:t>
      </w:r>
    </w:p>
    <w:p w:rsidR="00A948CA" w:rsidRPr="00A948CA" w:rsidRDefault="00A948CA" w:rsidP="00A948CA">
      <w:pPr>
        <w:spacing w:after="120"/>
        <w:rPr>
          <w:rFonts w:ascii="Times New Roman" w:eastAsia="Times New Roman" w:hAnsi="Times New Roman" w:cs="Times New Roman"/>
          <w:sz w:val="24"/>
          <w:szCs w:val="20"/>
          <w:lang w:eastAsia="cs-CZ"/>
        </w:rPr>
      </w:pPr>
      <w:r w:rsidRPr="00A948CA">
        <w:rPr>
          <w:rFonts w:ascii="Times New Roman" w:eastAsia="Times New Roman" w:hAnsi="Times New Roman" w:cs="Times New Roman"/>
          <w:sz w:val="24"/>
          <w:szCs w:val="20"/>
          <w:lang w:eastAsia="cs-CZ"/>
        </w:rPr>
        <w:t>B – limity nastavené na konkrétní riziko, kterým může být např. ochrana potravního řetězce před zvýšenými vstupy rizikových látek, ohrožení rostlin (fytotoxicita), ohrožení mikrobiální činnosti a následně transformačních procesů v půdě atd.</w:t>
      </w:r>
    </w:p>
    <w:p w:rsidR="00A948CA" w:rsidRPr="00A948CA" w:rsidRDefault="00A948CA" w:rsidP="00A948CA">
      <w:pPr>
        <w:spacing w:after="120"/>
        <w:rPr>
          <w:rFonts w:ascii="Times New Roman" w:eastAsia="Times New Roman" w:hAnsi="Times New Roman" w:cs="Times New Roman"/>
          <w:sz w:val="24"/>
          <w:szCs w:val="20"/>
          <w:lang w:eastAsia="cs-CZ"/>
        </w:rPr>
      </w:pPr>
      <w:r w:rsidRPr="00A948CA">
        <w:rPr>
          <w:rFonts w:ascii="Times New Roman" w:eastAsia="Times New Roman" w:hAnsi="Times New Roman" w:cs="Times New Roman"/>
          <w:sz w:val="24"/>
          <w:szCs w:val="20"/>
          <w:lang w:eastAsia="cs-CZ"/>
        </w:rPr>
        <w:t>C – limity ve smyslu asanačních hodnot, často odvozených od rizika přímého ohrožení lidského zdraví.</w:t>
      </w:r>
    </w:p>
    <w:p w:rsidR="00A948CA" w:rsidRPr="00A948CA" w:rsidRDefault="00A948CA" w:rsidP="00A948CA">
      <w:pPr>
        <w:spacing w:after="120"/>
        <w:rPr>
          <w:rFonts w:ascii="Times New Roman" w:eastAsia="Times New Roman" w:hAnsi="Times New Roman" w:cs="Times New Roman"/>
          <w:sz w:val="24"/>
          <w:szCs w:val="20"/>
          <w:lang w:eastAsia="cs-CZ"/>
        </w:rPr>
      </w:pPr>
      <w:r w:rsidRPr="00A948CA">
        <w:rPr>
          <w:rFonts w:ascii="Times New Roman" w:eastAsia="Times New Roman" w:hAnsi="Times New Roman" w:cs="Times New Roman"/>
          <w:sz w:val="24"/>
          <w:szCs w:val="20"/>
          <w:lang w:eastAsia="cs-CZ"/>
        </w:rPr>
        <w:t>První stupeň limitů lze přitom vztáhnout k následujícím funkcím:</w:t>
      </w:r>
    </w:p>
    <w:p w:rsidR="00A948CA" w:rsidRPr="00A948CA" w:rsidRDefault="00A948CA" w:rsidP="00A948CA">
      <w:pPr>
        <w:numPr>
          <w:ilvl w:val="0"/>
          <w:numId w:val="15"/>
        </w:numPr>
        <w:spacing w:after="0" w:line="240" w:lineRule="auto"/>
        <w:rPr>
          <w:rFonts w:ascii="Times New Roman" w:eastAsia="Times New Roman" w:hAnsi="Times New Roman" w:cs="Times New Roman"/>
          <w:sz w:val="24"/>
          <w:szCs w:val="20"/>
          <w:lang w:eastAsia="cs-CZ"/>
        </w:rPr>
      </w:pPr>
      <w:r w:rsidRPr="00A948CA">
        <w:rPr>
          <w:rFonts w:ascii="Times New Roman" w:eastAsia="Times New Roman" w:hAnsi="Times New Roman" w:cs="Times New Roman"/>
          <w:sz w:val="24"/>
          <w:szCs w:val="20"/>
          <w:lang w:eastAsia="cs-CZ"/>
        </w:rPr>
        <w:t>Indikuje zvýšenou antropogenní zátěž půdy, plní funkci především preventivní, na bázi principu obezřetnosti (uplatňován např. v USA, Kanadě, Německu, Dánsku, Rakousku)</w:t>
      </w:r>
    </w:p>
    <w:p w:rsidR="00A948CA" w:rsidRPr="00A948CA" w:rsidRDefault="00A948CA" w:rsidP="00A948CA">
      <w:pPr>
        <w:numPr>
          <w:ilvl w:val="0"/>
          <w:numId w:val="15"/>
        </w:numPr>
        <w:spacing w:after="0" w:line="240" w:lineRule="auto"/>
        <w:rPr>
          <w:rFonts w:ascii="Times New Roman" w:eastAsia="Times New Roman" w:hAnsi="Times New Roman" w:cs="Times New Roman"/>
          <w:sz w:val="24"/>
          <w:szCs w:val="20"/>
          <w:lang w:eastAsia="cs-CZ"/>
        </w:rPr>
      </w:pPr>
      <w:r w:rsidRPr="00A948CA">
        <w:rPr>
          <w:rFonts w:ascii="Times New Roman" w:eastAsia="Times New Roman" w:hAnsi="Times New Roman" w:cs="Times New Roman"/>
          <w:sz w:val="24"/>
          <w:szCs w:val="20"/>
          <w:lang w:eastAsia="cs-CZ"/>
        </w:rPr>
        <w:t xml:space="preserve">Vymezuje spodní hranici smysluplnosti ekotoxikologických, popřípadě </w:t>
      </w:r>
      <w:proofErr w:type="spellStart"/>
      <w:r w:rsidRPr="00A948CA">
        <w:rPr>
          <w:rFonts w:ascii="Times New Roman" w:eastAsia="Times New Roman" w:hAnsi="Times New Roman" w:cs="Times New Roman"/>
          <w:sz w:val="24"/>
          <w:szCs w:val="20"/>
          <w:lang w:eastAsia="cs-CZ"/>
        </w:rPr>
        <w:t>humanotoxikologických</w:t>
      </w:r>
      <w:proofErr w:type="spellEnd"/>
      <w:r w:rsidRPr="00A948CA">
        <w:rPr>
          <w:rFonts w:ascii="Times New Roman" w:eastAsia="Times New Roman" w:hAnsi="Times New Roman" w:cs="Times New Roman"/>
          <w:sz w:val="24"/>
          <w:szCs w:val="20"/>
          <w:lang w:eastAsia="cs-CZ"/>
        </w:rPr>
        <w:t xml:space="preserve"> kritérií</w:t>
      </w:r>
    </w:p>
    <w:p w:rsidR="00A948CA" w:rsidRPr="00A948CA" w:rsidRDefault="00A948CA" w:rsidP="00A948CA">
      <w:pPr>
        <w:numPr>
          <w:ilvl w:val="0"/>
          <w:numId w:val="15"/>
        </w:numPr>
        <w:spacing w:after="120" w:line="240" w:lineRule="auto"/>
        <w:ind w:left="714" w:hanging="357"/>
        <w:rPr>
          <w:rFonts w:ascii="Times New Roman" w:eastAsia="Times New Roman" w:hAnsi="Times New Roman" w:cs="Times New Roman"/>
          <w:sz w:val="24"/>
          <w:szCs w:val="20"/>
          <w:lang w:eastAsia="cs-CZ"/>
        </w:rPr>
      </w:pPr>
      <w:r w:rsidRPr="00A948CA">
        <w:rPr>
          <w:rFonts w:ascii="Times New Roman" w:eastAsia="Times New Roman" w:hAnsi="Times New Roman" w:cs="Times New Roman"/>
          <w:sz w:val="24"/>
          <w:szCs w:val="20"/>
          <w:lang w:eastAsia="cs-CZ"/>
        </w:rPr>
        <w:t>Vymezuje spodní hranici cílových koncentrací asanačních (</w:t>
      </w:r>
      <w:proofErr w:type="spellStart"/>
      <w:r w:rsidRPr="00A948CA">
        <w:rPr>
          <w:rFonts w:ascii="Times New Roman" w:eastAsia="Times New Roman" w:hAnsi="Times New Roman" w:cs="Times New Roman"/>
          <w:sz w:val="24"/>
          <w:szCs w:val="20"/>
          <w:lang w:eastAsia="cs-CZ"/>
        </w:rPr>
        <w:t>remediačních</w:t>
      </w:r>
      <w:proofErr w:type="spellEnd"/>
      <w:r w:rsidRPr="00A948CA">
        <w:rPr>
          <w:rFonts w:ascii="Times New Roman" w:eastAsia="Times New Roman" w:hAnsi="Times New Roman" w:cs="Times New Roman"/>
          <w:sz w:val="24"/>
          <w:szCs w:val="20"/>
          <w:lang w:eastAsia="cs-CZ"/>
        </w:rPr>
        <w:t xml:space="preserve"> ) opatření.</w:t>
      </w:r>
    </w:p>
    <w:p w:rsidR="00A948CA" w:rsidRPr="00A948CA" w:rsidRDefault="00A948CA" w:rsidP="00A948CA">
      <w:pPr>
        <w:spacing w:after="120"/>
        <w:rPr>
          <w:rFonts w:ascii="Times New Roman" w:eastAsia="Times New Roman" w:hAnsi="Times New Roman" w:cs="Times New Roman"/>
          <w:sz w:val="24"/>
          <w:szCs w:val="20"/>
          <w:lang w:eastAsia="cs-CZ"/>
        </w:rPr>
      </w:pPr>
      <w:r w:rsidRPr="00A948CA">
        <w:rPr>
          <w:rFonts w:ascii="Times New Roman" w:eastAsia="Times New Roman" w:hAnsi="Times New Roman" w:cs="Times New Roman"/>
          <w:sz w:val="24"/>
          <w:szCs w:val="20"/>
          <w:lang w:eastAsia="cs-CZ"/>
        </w:rPr>
        <w:t xml:space="preserve">Druhý stupeň limitních hodnot (B) je uplatňován tradičně především v evropských zemích (Německo, Švýcarsko) a vyvíjen je i v zemích mimoevropských (USA, Kanada). Problematické je pochopitelně přesnější „nastavení“ limitů na konkrétní plodiny, krmivářská kritéria, inhibice činnosti vybraných půdních mikroorganizmů atd. Stanovení nebezpečné koncentrace rizikových látek v biomase rostlin, vstupující do potravního řetězce patří stále k problematickým oblastem výzkumu, který již zasahuje spíše do oblasti </w:t>
      </w:r>
      <w:proofErr w:type="spellStart"/>
      <w:r w:rsidRPr="00A948CA">
        <w:rPr>
          <w:rFonts w:ascii="Times New Roman" w:eastAsia="Times New Roman" w:hAnsi="Times New Roman" w:cs="Times New Roman"/>
          <w:sz w:val="24"/>
          <w:szCs w:val="20"/>
          <w:lang w:eastAsia="cs-CZ"/>
        </w:rPr>
        <w:t>zootoxickkologického</w:t>
      </w:r>
      <w:proofErr w:type="spellEnd"/>
      <w:r w:rsidRPr="00A948CA">
        <w:rPr>
          <w:rFonts w:ascii="Times New Roman" w:eastAsia="Times New Roman" w:hAnsi="Times New Roman" w:cs="Times New Roman"/>
          <w:sz w:val="24"/>
          <w:szCs w:val="20"/>
          <w:lang w:eastAsia="cs-CZ"/>
        </w:rPr>
        <w:t xml:space="preserve"> a </w:t>
      </w:r>
      <w:proofErr w:type="spellStart"/>
      <w:r w:rsidRPr="00A948CA">
        <w:rPr>
          <w:rFonts w:ascii="Times New Roman" w:eastAsia="Times New Roman" w:hAnsi="Times New Roman" w:cs="Times New Roman"/>
          <w:sz w:val="24"/>
          <w:szCs w:val="20"/>
          <w:lang w:eastAsia="cs-CZ"/>
        </w:rPr>
        <w:t>humanotoxikologického</w:t>
      </w:r>
      <w:proofErr w:type="spellEnd"/>
      <w:r w:rsidRPr="00A948CA">
        <w:rPr>
          <w:rFonts w:ascii="Times New Roman" w:eastAsia="Times New Roman" w:hAnsi="Times New Roman" w:cs="Times New Roman"/>
          <w:sz w:val="24"/>
          <w:szCs w:val="20"/>
          <w:lang w:eastAsia="cs-CZ"/>
        </w:rPr>
        <w:t xml:space="preserve"> výzkumu. Kritéria obsahů rizikových látek v půdě mohou být již pouze „nastavena“ na úroveň hodnot, vycházejících z těchto výzkumů.</w:t>
      </w:r>
    </w:p>
    <w:p w:rsidR="00A948CA" w:rsidRPr="00A948CA" w:rsidRDefault="00A948CA" w:rsidP="00A948CA">
      <w:pPr>
        <w:spacing w:after="120"/>
        <w:rPr>
          <w:rFonts w:ascii="Times New Roman" w:eastAsia="Times New Roman" w:hAnsi="Times New Roman" w:cs="Times New Roman"/>
          <w:sz w:val="24"/>
          <w:szCs w:val="20"/>
          <w:lang w:eastAsia="cs-CZ"/>
        </w:rPr>
      </w:pPr>
      <w:r w:rsidRPr="00A948CA">
        <w:rPr>
          <w:rFonts w:ascii="Times New Roman" w:eastAsia="Times New Roman" w:hAnsi="Times New Roman" w:cs="Times New Roman"/>
          <w:sz w:val="24"/>
          <w:szCs w:val="20"/>
          <w:lang w:eastAsia="cs-CZ"/>
        </w:rPr>
        <w:t xml:space="preserve">Třetí stupeň limitních hodnot plní velmi často důležitou roli při rozhodovacích procesech (ohrožení lidského zdraví, sanační práce), používány jsou v zemích evropských i mimoevropských (Nizozemí, Německo, USA, Kanada), ve smyslu vymezení úrovně kontaminace, která vyžaduje následné šetření prostřednictvím analýzy rizik. </w:t>
      </w:r>
    </w:p>
    <w:p w:rsidR="00A948CA" w:rsidRPr="00A948CA" w:rsidRDefault="00A948CA" w:rsidP="00A948CA">
      <w:pPr>
        <w:spacing w:after="120"/>
        <w:rPr>
          <w:rFonts w:ascii="Times New Roman" w:eastAsia="Times New Roman" w:hAnsi="Times New Roman" w:cs="Times New Roman"/>
          <w:sz w:val="24"/>
          <w:szCs w:val="20"/>
          <w:lang w:eastAsia="cs-CZ"/>
        </w:rPr>
      </w:pPr>
      <w:r w:rsidRPr="00A948CA">
        <w:rPr>
          <w:rFonts w:ascii="Times New Roman" w:eastAsia="Times New Roman" w:hAnsi="Times New Roman" w:cs="Times New Roman"/>
          <w:sz w:val="24"/>
          <w:szCs w:val="20"/>
          <w:lang w:eastAsia="cs-CZ"/>
        </w:rPr>
        <w:t xml:space="preserve">Takto stanovená kritéria se mohou lišit nejenom v nastavení limitu pro konkrétní látky, ale také použitým scénářem, pro který byla vypracována. Scénáře definují způsoby šíření kontaminantů a doprovázející je procesy. Pouze výjimečně se týkají půd zemědělských ve smyslu ohrožení rostlinné produkce (Německo, Švýcarsko). Bývají vypracovány pro různé způsoby využití plochy (obytné, rekreační, průmyslové) a berou v úvahu možné způsoby ohrožení lidského zdraví (dermální, inhalační, perorální příjem apod.). Dopady na celý ekosystém jsou spíše uvažovány teoreticky, vymezení konkrétních hodnot je v tomto smyslu obtížné. Významnou složkou hodnocení kontaminantů na životní prostředí je </w:t>
      </w:r>
      <w:proofErr w:type="spellStart"/>
      <w:r w:rsidRPr="00A948CA">
        <w:rPr>
          <w:rFonts w:ascii="Times New Roman" w:eastAsia="Times New Roman" w:hAnsi="Times New Roman" w:cs="Times New Roman"/>
          <w:sz w:val="24"/>
          <w:szCs w:val="20"/>
          <w:lang w:eastAsia="cs-CZ"/>
        </w:rPr>
        <w:t>ekotoxicita</w:t>
      </w:r>
      <w:proofErr w:type="spellEnd"/>
      <w:r w:rsidRPr="00A948CA">
        <w:rPr>
          <w:rFonts w:ascii="Times New Roman" w:eastAsia="Times New Roman" w:hAnsi="Times New Roman" w:cs="Times New Roman"/>
          <w:sz w:val="24"/>
          <w:szCs w:val="20"/>
          <w:lang w:eastAsia="cs-CZ"/>
        </w:rPr>
        <w:t>, ve smyslu jejich působení na půdní organizmy. Používají se následující přístupy:</w:t>
      </w:r>
    </w:p>
    <w:p w:rsidR="00A948CA" w:rsidRPr="00A948CA" w:rsidRDefault="00A948CA" w:rsidP="00A948CA">
      <w:pPr>
        <w:numPr>
          <w:ilvl w:val="0"/>
          <w:numId w:val="15"/>
        </w:numPr>
        <w:spacing w:after="0" w:line="240" w:lineRule="auto"/>
        <w:rPr>
          <w:rFonts w:ascii="Times New Roman" w:eastAsia="Times New Roman" w:hAnsi="Times New Roman" w:cs="Times New Roman"/>
          <w:sz w:val="24"/>
          <w:szCs w:val="20"/>
          <w:lang w:eastAsia="cs-CZ"/>
        </w:rPr>
      </w:pPr>
      <w:r w:rsidRPr="00A948CA">
        <w:rPr>
          <w:rFonts w:ascii="Times New Roman" w:eastAsia="Times New Roman" w:hAnsi="Times New Roman" w:cs="Times New Roman"/>
          <w:sz w:val="24"/>
          <w:szCs w:val="20"/>
          <w:lang w:eastAsia="cs-CZ"/>
        </w:rPr>
        <w:t>Výluhové testy, to znamená hodnocení půdního extraktu na konkrétní organizmy, základem tohoto hodnocení jsou testy v </w:t>
      </w:r>
      <w:proofErr w:type="spellStart"/>
      <w:r w:rsidRPr="00A948CA">
        <w:rPr>
          <w:rFonts w:ascii="Times New Roman" w:eastAsia="Times New Roman" w:hAnsi="Times New Roman" w:cs="Times New Roman"/>
          <w:sz w:val="24"/>
          <w:szCs w:val="20"/>
          <w:lang w:eastAsia="cs-CZ"/>
        </w:rPr>
        <w:t>akvatických</w:t>
      </w:r>
      <w:proofErr w:type="spellEnd"/>
      <w:r w:rsidRPr="00A948CA">
        <w:rPr>
          <w:rFonts w:ascii="Times New Roman" w:eastAsia="Times New Roman" w:hAnsi="Times New Roman" w:cs="Times New Roman"/>
          <w:sz w:val="24"/>
          <w:szCs w:val="20"/>
          <w:lang w:eastAsia="cs-CZ"/>
        </w:rPr>
        <w:t xml:space="preserve"> systémech. Tyto testy bývají nezřídka kritizovány z hlediska posouzení relevance pro terestrické prostředí.</w:t>
      </w:r>
    </w:p>
    <w:p w:rsidR="00A948CA" w:rsidRPr="00A948CA" w:rsidRDefault="00A948CA" w:rsidP="00A948CA">
      <w:pPr>
        <w:numPr>
          <w:ilvl w:val="0"/>
          <w:numId w:val="15"/>
        </w:numPr>
        <w:spacing w:after="0" w:line="240" w:lineRule="auto"/>
        <w:rPr>
          <w:rFonts w:ascii="Times New Roman" w:eastAsia="Times New Roman" w:hAnsi="Times New Roman" w:cs="Times New Roman"/>
          <w:sz w:val="24"/>
          <w:szCs w:val="20"/>
          <w:lang w:eastAsia="cs-CZ"/>
        </w:rPr>
      </w:pPr>
      <w:r w:rsidRPr="00A948CA">
        <w:rPr>
          <w:rFonts w:ascii="Times New Roman" w:eastAsia="Times New Roman" w:hAnsi="Times New Roman" w:cs="Times New Roman"/>
          <w:sz w:val="24"/>
          <w:szCs w:val="20"/>
          <w:lang w:eastAsia="cs-CZ"/>
        </w:rPr>
        <w:t>Testy v uměle vytvořených půdách po přidání půdních organizmů, zatěžovaných toxickými látkami</w:t>
      </w:r>
      <w:r w:rsidR="00BD7D2D">
        <w:rPr>
          <w:rFonts w:ascii="Times New Roman" w:eastAsia="Times New Roman" w:hAnsi="Times New Roman" w:cs="Times New Roman"/>
          <w:sz w:val="24"/>
          <w:szCs w:val="20"/>
          <w:lang w:eastAsia="cs-CZ"/>
        </w:rPr>
        <w:t xml:space="preserve"> (Vašíčková et al., 2013)</w:t>
      </w:r>
      <w:r w:rsidRPr="00A948CA">
        <w:rPr>
          <w:rFonts w:ascii="Times New Roman" w:eastAsia="Times New Roman" w:hAnsi="Times New Roman" w:cs="Times New Roman"/>
          <w:sz w:val="24"/>
          <w:szCs w:val="20"/>
          <w:lang w:eastAsia="cs-CZ"/>
        </w:rPr>
        <w:t>. Problematická může být opět interpretace výsledků, v relaci ke skutečně zatíženým půdám (doba potřebná, k vytvoření rovnováhy v umělém systému atd.)</w:t>
      </w:r>
    </w:p>
    <w:p w:rsidR="00A948CA" w:rsidRPr="00A948CA" w:rsidRDefault="00A948CA" w:rsidP="00A948CA">
      <w:pPr>
        <w:numPr>
          <w:ilvl w:val="0"/>
          <w:numId w:val="15"/>
        </w:numPr>
        <w:spacing w:after="0" w:line="240" w:lineRule="auto"/>
        <w:rPr>
          <w:rFonts w:ascii="Times New Roman" w:eastAsia="Times New Roman" w:hAnsi="Times New Roman" w:cs="Times New Roman"/>
          <w:sz w:val="24"/>
          <w:szCs w:val="20"/>
          <w:lang w:eastAsia="cs-CZ"/>
        </w:rPr>
      </w:pPr>
      <w:r w:rsidRPr="00A948CA">
        <w:rPr>
          <w:rFonts w:ascii="Times New Roman" w:eastAsia="Times New Roman" w:hAnsi="Times New Roman" w:cs="Times New Roman"/>
          <w:sz w:val="24"/>
          <w:szCs w:val="20"/>
          <w:lang w:eastAsia="cs-CZ"/>
        </w:rPr>
        <w:t>Hodnocení toxicity v půdách, zatížených v terénu.</w:t>
      </w:r>
    </w:p>
    <w:p w:rsidR="00A948CA" w:rsidRPr="00A948CA" w:rsidRDefault="00A948CA" w:rsidP="00A948CA">
      <w:pPr>
        <w:spacing w:before="120" w:after="120"/>
        <w:rPr>
          <w:rFonts w:ascii="Times New Roman" w:eastAsia="Times New Roman" w:hAnsi="Times New Roman" w:cs="Times New Roman"/>
          <w:sz w:val="24"/>
          <w:szCs w:val="20"/>
          <w:lang w:eastAsia="cs-CZ"/>
        </w:rPr>
      </w:pPr>
      <w:r w:rsidRPr="00A948CA">
        <w:rPr>
          <w:rFonts w:ascii="Times New Roman" w:eastAsia="Times New Roman" w:hAnsi="Times New Roman" w:cs="Times New Roman"/>
          <w:sz w:val="24"/>
          <w:szCs w:val="20"/>
          <w:lang w:eastAsia="cs-CZ"/>
        </w:rPr>
        <w:t xml:space="preserve">Je pochopitelné, že kritéria se nemohou opírat vždy o exaktní výsledky výzkumu a jejich „nastavení“ je proto snahou o dosažitelný kompromis. Prozatím se v rámci kritérií nesetkáváme obecně s využitím testů toxicity, tento přístup se však začíná v současné době prosazovat především u kritérií, která se týkají regulace vstupů rizikových látek do půdy, kde je důležité podchycení rizika </w:t>
      </w:r>
      <w:proofErr w:type="spellStart"/>
      <w:r w:rsidRPr="00A948CA">
        <w:rPr>
          <w:rFonts w:ascii="Times New Roman" w:eastAsia="Times New Roman" w:hAnsi="Times New Roman" w:cs="Times New Roman"/>
          <w:sz w:val="24"/>
          <w:szCs w:val="20"/>
          <w:lang w:eastAsia="cs-CZ"/>
        </w:rPr>
        <w:t>ekotoxicity</w:t>
      </w:r>
      <w:proofErr w:type="spellEnd"/>
      <w:r w:rsidRPr="00A948CA">
        <w:rPr>
          <w:rFonts w:ascii="Times New Roman" w:eastAsia="Times New Roman" w:hAnsi="Times New Roman" w:cs="Times New Roman"/>
          <w:sz w:val="24"/>
          <w:szCs w:val="20"/>
          <w:lang w:eastAsia="cs-CZ"/>
        </w:rPr>
        <w:t>, aniž by musel být znám původce tohoto působení. Proto mohou být tyto testy využity bez rozdílu na poli anorganických i organických polutantů, je však důležité, aby se opíraly o akreditované nebo normované metodiky.</w:t>
      </w:r>
    </w:p>
    <w:p w:rsidR="00A948CA" w:rsidRPr="00A948CA" w:rsidRDefault="00A948CA" w:rsidP="00A948CA">
      <w:pPr>
        <w:spacing w:after="120"/>
        <w:rPr>
          <w:rFonts w:ascii="Times New Roman" w:eastAsia="Times New Roman" w:hAnsi="Times New Roman" w:cs="Times New Roman"/>
          <w:sz w:val="24"/>
          <w:szCs w:val="20"/>
          <w:lang w:eastAsia="cs-CZ"/>
        </w:rPr>
      </w:pPr>
      <w:r w:rsidRPr="00A948CA">
        <w:rPr>
          <w:rFonts w:ascii="Times New Roman" w:eastAsia="Times New Roman" w:hAnsi="Times New Roman" w:cs="Times New Roman"/>
          <w:sz w:val="24"/>
          <w:szCs w:val="20"/>
          <w:lang w:eastAsia="cs-CZ"/>
        </w:rPr>
        <w:t xml:space="preserve">S existencí preventivních limitů (úroveň limitů A) pro </w:t>
      </w:r>
      <w:proofErr w:type="spellStart"/>
      <w:r w:rsidRPr="00A948CA">
        <w:rPr>
          <w:rFonts w:ascii="Times New Roman" w:eastAsia="Times New Roman" w:hAnsi="Times New Roman" w:cs="Times New Roman"/>
          <w:sz w:val="24"/>
          <w:szCs w:val="20"/>
          <w:lang w:eastAsia="cs-CZ"/>
        </w:rPr>
        <w:t>POPs</w:t>
      </w:r>
      <w:proofErr w:type="spellEnd"/>
      <w:r w:rsidRPr="00A948CA">
        <w:rPr>
          <w:rFonts w:ascii="Times New Roman" w:eastAsia="Times New Roman" w:hAnsi="Times New Roman" w:cs="Times New Roman"/>
          <w:sz w:val="24"/>
          <w:szCs w:val="20"/>
          <w:lang w:eastAsia="cs-CZ"/>
        </w:rPr>
        <w:t xml:space="preserve"> se setkáváme v legislativě Německa a Švýcarska, kde je uplatňován identický princip limitních hodnot. SRN kromě toho uplatňuje limitní hodnoty </w:t>
      </w:r>
      <w:proofErr w:type="spellStart"/>
      <w:r w:rsidRPr="00A948CA">
        <w:rPr>
          <w:rFonts w:ascii="Times New Roman" w:eastAsia="Times New Roman" w:hAnsi="Times New Roman" w:cs="Times New Roman"/>
          <w:sz w:val="24"/>
          <w:szCs w:val="20"/>
          <w:lang w:eastAsia="cs-CZ"/>
        </w:rPr>
        <w:t>POPs</w:t>
      </w:r>
      <w:proofErr w:type="spellEnd"/>
      <w:r w:rsidRPr="00A948CA">
        <w:rPr>
          <w:rFonts w:ascii="Times New Roman" w:eastAsia="Times New Roman" w:hAnsi="Times New Roman" w:cs="Times New Roman"/>
          <w:sz w:val="24"/>
          <w:szCs w:val="20"/>
          <w:lang w:eastAsia="cs-CZ"/>
        </w:rPr>
        <w:t xml:space="preserve">, ve vztahu k potenciální kontaminaci spodní vody. Tento přístup nebyl prozatím uplatněn v našich podmínkách, jeho zavedení v budoucnu je však pravděpodobné. </w:t>
      </w:r>
    </w:p>
    <w:p w:rsidR="00A948CA" w:rsidRPr="00A948CA" w:rsidRDefault="00A948CA" w:rsidP="00A948CA">
      <w:pPr>
        <w:spacing w:after="120"/>
        <w:rPr>
          <w:rFonts w:ascii="Times New Roman" w:eastAsia="Times New Roman" w:hAnsi="Times New Roman" w:cs="Times New Roman"/>
          <w:sz w:val="24"/>
          <w:szCs w:val="20"/>
          <w:lang w:eastAsia="cs-CZ"/>
        </w:rPr>
      </w:pPr>
      <w:r w:rsidRPr="00A948CA">
        <w:rPr>
          <w:rFonts w:ascii="Times New Roman" w:eastAsia="Times New Roman" w:hAnsi="Times New Roman" w:cs="Times New Roman"/>
          <w:sz w:val="24"/>
          <w:szCs w:val="20"/>
          <w:lang w:eastAsia="cs-CZ"/>
        </w:rPr>
        <w:t>Ve Velké Británii se limitní hodnoty vztahují pouze na půdy zahrnuté do tzv. územního plánu (vypracován Komisi pro opětný rozvoj půd v minulosti kontaminovaných). Kritéria jsou vymezena ve dvou úrovních, tzv. prahových koncentrací a akčních koncentrací. Půdy s obsahy rizikových látek pod hodnotami prahových koncentrací nevyžadují z hlediska jejich využívání žádný nemediační zásah. Pokud se koncentrace některých kontaminantů nacházejí mezi limity prahové a akční koncentrace, je třeba zvážit potřebu sanace pro předpokládané využití půdy nebo změnu plánovaného využití půdy. V případě překročení akčních koncentrací u jednoho či více kontaminantů je třeba učinit kroky ve smyslu změny původního využití plochy.</w:t>
      </w:r>
    </w:p>
    <w:p w:rsidR="00A948CA" w:rsidRPr="00A948CA" w:rsidRDefault="00A948CA" w:rsidP="00A948CA">
      <w:pPr>
        <w:spacing w:after="120"/>
        <w:rPr>
          <w:rFonts w:ascii="Times New Roman" w:eastAsia="Times New Roman" w:hAnsi="Times New Roman" w:cs="Times New Roman"/>
          <w:sz w:val="24"/>
          <w:szCs w:val="20"/>
          <w:lang w:eastAsia="cs-CZ"/>
        </w:rPr>
      </w:pPr>
      <w:r w:rsidRPr="00A948CA">
        <w:rPr>
          <w:rFonts w:ascii="Times New Roman" w:eastAsia="Times New Roman" w:hAnsi="Times New Roman" w:cs="Times New Roman"/>
          <w:sz w:val="24"/>
          <w:szCs w:val="20"/>
          <w:lang w:eastAsia="cs-CZ"/>
        </w:rPr>
        <w:t xml:space="preserve">Hodnoty pro RP a </w:t>
      </w:r>
      <w:proofErr w:type="spellStart"/>
      <w:r w:rsidRPr="00A948CA">
        <w:rPr>
          <w:rFonts w:ascii="Times New Roman" w:eastAsia="Times New Roman" w:hAnsi="Times New Roman" w:cs="Times New Roman"/>
          <w:sz w:val="24"/>
          <w:szCs w:val="20"/>
          <w:lang w:eastAsia="cs-CZ"/>
        </w:rPr>
        <w:t>POPs</w:t>
      </w:r>
      <w:proofErr w:type="spellEnd"/>
      <w:r w:rsidRPr="00A948CA">
        <w:rPr>
          <w:rFonts w:ascii="Times New Roman" w:eastAsia="Times New Roman" w:hAnsi="Times New Roman" w:cs="Times New Roman"/>
          <w:sz w:val="24"/>
          <w:szCs w:val="20"/>
          <w:lang w:eastAsia="cs-CZ"/>
        </w:rPr>
        <w:t xml:space="preserve"> jsou vypracovány pro dvě skupiny půd, lišící se jejich využitím, v případě </w:t>
      </w:r>
      <w:proofErr w:type="spellStart"/>
      <w:r w:rsidRPr="00A948CA">
        <w:rPr>
          <w:rFonts w:ascii="Times New Roman" w:eastAsia="Times New Roman" w:hAnsi="Times New Roman" w:cs="Times New Roman"/>
          <w:sz w:val="24"/>
          <w:szCs w:val="20"/>
          <w:lang w:eastAsia="cs-CZ"/>
        </w:rPr>
        <w:t>POPs</w:t>
      </w:r>
      <w:proofErr w:type="spellEnd"/>
      <w:r w:rsidRPr="00A948CA">
        <w:rPr>
          <w:rFonts w:ascii="Times New Roman" w:eastAsia="Times New Roman" w:hAnsi="Times New Roman" w:cs="Times New Roman"/>
          <w:sz w:val="24"/>
          <w:szCs w:val="20"/>
          <w:lang w:eastAsia="cs-CZ"/>
        </w:rPr>
        <w:t xml:space="preserve"> jsou to v první skupině domácí zahrady, pozemky, hřiště, ve druhé skupině pak krajina, budovy a pevné pokryvy.</w:t>
      </w:r>
    </w:p>
    <w:p w:rsidR="00A948CA" w:rsidRPr="00A948CA" w:rsidRDefault="00A948CA" w:rsidP="00A948CA">
      <w:pPr>
        <w:spacing w:after="120"/>
        <w:rPr>
          <w:rFonts w:ascii="Times New Roman" w:eastAsia="Times New Roman" w:hAnsi="Times New Roman" w:cs="Times New Roman"/>
          <w:sz w:val="24"/>
          <w:szCs w:val="20"/>
          <w:lang w:eastAsia="cs-CZ"/>
        </w:rPr>
      </w:pPr>
      <w:r w:rsidRPr="00A948CA">
        <w:rPr>
          <w:rFonts w:ascii="Times New Roman" w:eastAsia="Times New Roman" w:hAnsi="Times New Roman" w:cs="Times New Roman"/>
          <w:sz w:val="24"/>
          <w:szCs w:val="20"/>
          <w:lang w:eastAsia="cs-CZ"/>
        </w:rPr>
        <w:t xml:space="preserve">Systém pro hodnocení půd (Framework </w:t>
      </w:r>
      <w:proofErr w:type="spellStart"/>
      <w:r w:rsidRPr="00A948CA">
        <w:rPr>
          <w:rFonts w:ascii="Times New Roman" w:eastAsia="Times New Roman" w:hAnsi="Times New Roman" w:cs="Times New Roman"/>
          <w:sz w:val="24"/>
          <w:szCs w:val="20"/>
          <w:lang w:eastAsia="cs-CZ"/>
        </w:rPr>
        <w:t>for</w:t>
      </w:r>
      <w:proofErr w:type="spellEnd"/>
      <w:r w:rsidRPr="00A948CA">
        <w:rPr>
          <w:rFonts w:ascii="Times New Roman" w:eastAsia="Times New Roman" w:hAnsi="Times New Roman" w:cs="Times New Roman"/>
          <w:sz w:val="24"/>
          <w:szCs w:val="20"/>
          <w:lang w:eastAsia="cs-CZ"/>
        </w:rPr>
        <w:t xml:space="preserve"> </w:t>
      </w:r>
      <w:proofErr w:type="spellStart"/>
      <w:r w:rsidRPr="00A948CA">
        <w:rPr>
          <w:rFonts w:ascii="Times New Roman" w:eastAsia="Times New Roman" w:hAnsi="Times New Roman" w:cs="Times New Roman"/>
          <w:sz w:val="24"/>
          <w:szCs w:val="20"/>
          <w:lang w:eastAsia="cs-CZ"/>
        </w:rPr>
        <w:t>contaminated</w:t>
      </w:r>
      <w:proofErr w:type="spellEnd"/>
      <w:r w:rsidRPr="00A948CA">
        <w:rPr>
          <w:rFonts w:ascii="Times New Roman" w:eastAsia="Times New Roman" w:hAnsi="Times New Roman" w:cs="Times New Roman"/>
          <w:sz w:val="24"/>
          <w:szCs w:val="20"/>
          <w:lang w:eastAsia="cs-CZ"/>
        </w:rPr>
        <w:t xml:space="preserve"> </w:t>
      </w:r>
      <w:proofErr w:type="spellStart"/>
      <w:r w:rsidRPr="00A948CA">
        <w:rPr>
          <w:rFonts w:ascii="Times New Roman" w:eastAsia="Times New Roman" w:hAnsi="Times New Roman" w:cs="Times New Roman"/>
          <w:sz w:val="24"/>
          <w:szCs w:val="20"/>
          <w:lang w:eastAsia="cs-CZ"/>
        </w:rPr>
        <w:t>land</w:t>
      </w:r>
      <w:proofErr w:type="spellEnd"/>
      <w:r w:rsidRPr="00A948CA">
        <w:rPr>
          <w:rFonts w:ascii="Times New Roman" w:eastAsia="Times New Roman" w:hAnsi="Times New Roman" w:cs="Times New Roman"/>
          <w:sz w:val="24"/>
          <w:szCs w:val="20"/>
          <w:lang w:eastAsia="cs-CZ"/>
        </w:rPr>
        <w:t>, 1994) pak uvádí postup identifikace kontaminovaných půd a hodnocení rizik, které provádějí místní úřady. Byl vypracován obecně využitelný model CLEA (</w:t>
      </w:r>
      <w:proofErr w:type="spellStart"/>
      <w:r w:rsidRPr="00A948CA">
        <w:rPr>
          <w:rFonts w:ascii="Times New Roman" w:eastAsia="Times New Roman" w:hAnsi="Times New Roman" w:cs="Times New Roman"/>
          <w:sz w:val="24"/>
          <w:szCs w:val="20"/>
          <w:lang w:eastAsia="cs-CZ"/>
        </w:rPr>
        <w:t>Contaminated</w:t>
      </w:r>
      <w:proofErr w:type="spellEnd"/>
      <w:r w:rsidRPr="00A948CA">
        <w:rPr>
          <w:rFonts w:ascii="Times New Roman" w:eastAsia="Times New Roman" w:hAnsi="Times New Roman" w:cs="Times New Roman"/>
          <w:sz w:val="24"/>
          <w:szCs w:val="20"/>
          <w:lang w:eastAsia="cs-CZ"/>
        </w:rPr>
        <w:t xml:space="preserve"> Land </w:t>
      </w:r>
      <w:proofErr w:type="spellStart"/>
      <w:r w:rsidRPr="00A948CA">
        <w:rPr>
          <w:rFonts w:ascii="Times New Roman" w:eastAsia="Times New Roman" w:hAnsi="Times New Roman" w:cs="Times New Roman"/>
          <w:sz w:val="24"/>
          <w:szCs w:val="20"/>
          <w:lang w:eastAsia="cs-CZ"/>
        </w:rPr>
        <w:t>Exposure</w:t>
      </w:r>
      <w:proofErr w:type="spellEnd"/>
      <w:r w:rsidRPr="00A948CA">
        <w:rPr>
          <w:rFonts w:ascii="Times New Roman" w:eastAsia="Times New Roman" w:hAnsi="Times New Roman" w:cs="Times New Roman"/>
          <w:sz w:val="24"/>
          <w:szCs w:val="20"/>
          <w:lang w:eastAsia="cs-CZ"/>
        </w:rPr>
        <w:t xml:space="preserve"> </w:t>
      </w:r>
      <w:proofErr w:type="spellStart"/>
      <w:r w:rsidRPr="00A948CA">
        <w:rPr>
          <w:rFonts w:ascii="Times New Roman" w:eastAsia="Times New Roman" w:hAnsi="Times New Roman" w:cs="Times New Roman"/>
          <w:sz w:val="24"/>
          <w:szCs w:val="20"/>
          <w:lang w:eastAsia="cs-CZ"/>
        </w:rPr>
        <w:t>Assessment</w:t>
      </w:r>
      <w:proofErr w:type="spellEnd"/>
      <w:r w:rsidRPr="00A948CA">
        <w:rPr>
          <w:rFonts w:ascii="Times New Roman" w:eastAsia="Times New Roman" w:hAnsi="Times New Roman" w:cs="Times New Roman"/>
          <w:sz w:val="24"/>
          <w:szCs w:val="20"/>
          <w:lang w:eastAsia="cs-CZ"/>
        </w:rPr>
        <w:t xml:space="preserve">) určující pravděpodobné riziko, vyplývající pro obyvatele při expozici kontaminantů z půdy. </w:t>
      </w:r>
    </w:p>
    <w:p w:rsidR="00A948CA" w:rsidRPr="00A948CA" w:rsidRDefault="00A948CA" w:rsidP="00A948CA">
      <w:pPr>
        <w:rPr>
          <w:rFonts w:ascii="Times New Roman" w:eastAsia="Times New Roman" w:hAnsi="Times New Roman" w:cs="Times New Roman"/>
          <w:sz w:val="24"/>
          <w:szCs w:val="20"/>
          <w:lang w:eastAsia="cs-CZ"/>
        </w:rPr>
      </w:pPr>
      <w:r w:rsidRPr="00A948CA">
        <w:rPr>
          <w:rFonts w:ascii="Times New Roman" w:eastAsia="Times New Roman" w:hAnsi="Times New Roman" w:cs="Times New Roman"/>
          <w:sz w:val="24"/>
          <w:szCs w:val="20"/>
          <w:lang w:eastAsia="cs-CZ"/>
        </w:rPr>
        <w:t xml:space="preserve">Vychází se přitom z toho, že </w:t>
      </w:r>
      <w:proofErr w:type="spellStart"/>
      <w:r w:rsidRPr="00A948CA">
        <w:rPr>
          <w:rFonts w:ascii="Times New Roman" w:eastAsia="Times New Roman" w:hAnsi="Times New Roman" w:cs="Times New Roman"/>
          <w:sz w:val="24"/>
          <w:szCs w:val="20"/>
          <w:lang w:eastAsia="cs-CZ"/>
        </w:rPr>
        <w:t>remediace</w:t>
      </w:r>
      <w:proofErr w:type="spellEnd"/>
      <w:r w:rsidRPr="00A948CA">
        <w:rPr>
          <w:rFonts w:ascii="Times New Roman" w:eastAsia="Times New Roman" w:hAnsi="Times New Roman" w:cs="Times New Roman"/>
          <w:sz w:val="24"/>
          <w:szCs w:val="20"/>
          <w:lang w:eastAsia="cs-CZ"/>
        </w:rPr>
        <w:t xml:space="preserve"> půd kontaminovaných do té míry, že riziko pro zdraví lidí či životní prostředí je nepřijatelné, se provádí v případě, pokud jsou k dispozici vhodné a ekonomicky přijatelné způsoby sanací, se zřetelem na současné či budoucí využití plochy.</w:t>
      </w:r>
    </w:p>
    <w:p w:rsidR="00A948CA" w:rsidRPr="00A948CA" w:rsidRDefault="00A948CA" w:rsidP="00A948CA">
      <w:pPr>
        <w:spacing w:before="120" w:after="120"/>
        <w:rPr>
          <w:rFonts w:ascii="Times New Roman" w:eastAsia="Times New Roman" w:hAnsi="Times New Roman" w:cs="Times New Roman"/>
          <w:sz w:val="24"/>
          <w:szCs w:val="20"/>
          <w:lang w:eastAsia="cs-CZ"/>
        </w:rPr>
      </w:pPr>
      <w:r w:rsidRPr="00A948CA">
        <w:rPr>
          <w:rFonts w:ascii="Times New Roman" w:eastAsia="Times New Roman" w:hAnsi="Times New Roman" w:cs="Times New Roman"/>
          <w:sz w:val="24"/>
          <w:szCs w:val="20"/>
          <w:lang w:eastAsia="cs-CZ"/>
        </w:rPr>
        <w:t>S poněkud jinak modifikovaným přístupem se setkáváme ve Francii. Zde byla tradičně věnována kontaminaci půd spíše menší pozornost. Nicméně princip, uplatňovaný francouzským Ministerstvem životního prostředí, je využit v rámci evropské politiky, konkrétně nové směrnice o ochraně půdy.  Postup spočívá v následujícím:</w:t>
      </w:r>
    </w:p>
    <w:p w:rsidR="00A948CA" w:rsidRPr="00A948CA" w:rsidRDefault="00A948CA" w:rsidP="00A948CA">
      <w:pPr>
        <w:numPr>
          <w:ilvl w:val="0"/>
          <w:numId w:val="15"/>
        </w:numPr>
        <w:spacing w:after="0" w:line="240" w:lineRule="auto"/>
        <w:rPr>
          <w:rFonts w:ascii="Times New Roman" w:eastAsia="Times New Roman" w:hAnsi="Times New Roman" w:cs="Times New Roman"/>
          <w:sz w:val="24"/>
          <w:szCs w:val="20"/>
          <w:lang w:eastAsia="cs-CZ"/>
        </w:rPr>
      </w:pPr>
      <w:r w:rsidRPr="00A948CA">
        <w:rPr>
          <w:rFonts w:ascii="Times New Roman" w:eastAsia="Times New Roman" w:hAnsi="Times New Roman" w:cs="Times New Roman"/>
          <w:sz w:val="24"/>
          <w:szCs w:val="20"/>
          <w:lang w:eastAsia="cs-CZ"/>
        </w:rPr>
        <w:t>Identifikace kontaminovaných lokalit a vypracování registru kontaminovaných míst.</w:t>
      </w:r>
    </w:p>
    <w:p w:rsidR="00A948CA" w:rsidRPr="00A948CA" w:rsidRDefault="00A948CA" w:rsidP="00A948CA">
      <w:pPr>
        <w:numPr>
          <w:ilvl w:val="0"/>
          <w:numId w:val="15"/>
        </w:numPr>
        <w:spacing w:after="0" w:line="240" w:lineRule="auto"/>
        <w:rPr>
          <w:rFonts w:ascii="Times New Roman" w:eastAsia="Times New Roman" w:hAnsi="Times New Roman" w:cs="Times New Roman"/>
          <w:sz w:val="24"/>
          <w:szCs w:val="20"/>
          <w:lang w:eastAsia="cs-CZ"/>
        </w:rPr>
      </w:pPr>
      <w:r w:rsidRPr="00A948CA">
        <w:rPr>
          <w:rFonts w:ascii="Times New Roman" w:eastAsia="Times New Roman" w:hAnsi="Times New Roman" w:cs="Times New Roman"/>
          <w:sz w:val="24"/>
          <w:szCs w:val="20"/>
          <w:lang w:eastAsia="cs-CZ"/>
        </w:rPr>
        <w:t xml:space="preserve">Provedení risk </w:t>
      </w:r>
      <w:proofErr w:type="spellStart"/>
      <w:r w:rsidRPr="00A948CA">
        <w:rPr>
          <w:rFonts w:ascii="Times New Roman" w:eastAsia="Times New Roman" w:hAnsi="Times New Roman" w:cs="Times New Roman"/>
          <w:sz w:val="24"/>
          <w:szCs w:val="20"/>
          <w:lang w:eastAsia="cs-CZ"/>
        </w:rPr>
        <w:t>assessmentu</w:t>
      </w:r>
      <w:proofErr w:type="spellEnd"/>
      <w:r w:rsidRPr="00A948CA">
        <w:rPr>
          <w:rFonts w:ascii="Times New Roman" w:eastAsia="Times New Roman" w:hAnsi="Times New Roman" w:cs="Times New Roman"/>
          <w:sz w:val="24"/>
          <w:szCs w:val="20"/>
          <w:lang w:eastAsia="cs-CZ"/>
        </w:rPr>
        <w:t xml:space="preserve"> míst, vytipovaných z registru kontaminovaných míst.</w:t>
      </w:r>
    </w:p>
    <w:p w:rsidR="00A948CA" w:rsidRPr="00A948CA" w:rsidRDefault="00A948CA" w:rsidP="00A948CA">
      <w:pPr>
        <w:numPr>
          <w:ilvl w:val="0"/>
          <w:numId w:val="15"/>
        </w:numPr>
        <w:spacing w:after="0" w:line="240" w:lineRule="auto"/>
        <w:rPr>
          <w:rFonts w:ascii="Times New Roman" w:eastAsia="Times New Roman" w:hAnsi="Times New Roman" w:cs="Times New Roman"/>
          <w:sz w:val="24"/>
          <w:szCs w:val="20"/>
          <w:lang w:eastAsia="cs-CZ"/>
        </w:rPr>
      </w:pPr>
      <w:r w:rsidRPr="00A948CA">
        <w:rPr>
          <w:rFonts w:ascii="Times New Roman" w:eastAsia="Times New Roman" w:hAnsi="Times New Roman" w:cs="Times New Roman"/>
          <w:sz w:val="24"/>
          <w:szCs w:val="20"/>
          <w:lang w:eastAsia="cs-CZ"/>
        </w:rPr>
        <w:t>Vypracování nemediačního plánu kontaminovaných míst a provedení nemediačních postupů.</w:t>
      </w:r>
    </w:p>
    <w:p w:rsidR="00A948CA" w:rsidRPr="00A948CA" w:rsidRDefault="00A948CA" w:rsidP="00A948CA">
      <w:pPr>
        <w:numPr>
          <w:ilvl w:val="0"/>
          <w:numId w:val="15"/>
        </w:numPr>
        <w:spacing w:after="0" w:line="240" w:lineRule="auto"/>
        <w:rPr>
          <w:rFonts w:ascii="Times New Roman" w:eastAsia="Times New Roman" w:hAnsi="Times New Roman" w:cs="Times New Roman"/>
          <w:sz w:val="24"/>
          <w:szCs w:val="20"/>
          <w:lang w:eastAsia="cs-CZ"/>
        </w:rPr>
      </w:pPr>
      <w:r w:rsidRPr="00A948CA">
        <w:rPr>
          <w:rFonts w:ascii="Times New Roman" w:eastAsia="Times New Roman" w:hAnsi="Times New Roman" w:cs="Times New Roman"/>
          <w:sz w:val="24"/>
          <w:szCs w:val="20"/>
          <w:lang w:eastAsia="cs-CZ"/>
        </w:rPr>
        <w:t xml:space="preserve">Vypracování zprávy o efektivitě použitých </w:t>
      </w:r>
      <w:proofErr w:type="spellStart"/>
      <w:r w:rsidRPr="00A948CA">
        <w:rPr>
          <w:rFonts w:ascii="Times New Roman" w:eastAsia="Times New Roman" w:hAnsi="Times New Roman" w:cs="Times New Roman"/>
          <w:sz w:val="24"/>
          <w:szCs w:val="20"/>
          <w:lang w:eastAsia="cs-CZ"/>
        </w:rPr>
        <w:t>remediačních</w:t>
      </w:r>
      <w:proofErr w:type="spellEnd"/>
      <w:r w:rsidRPr="00A948CA">
        <w:rPr>
          <w:rFonts w:ascii="Times New Roman" w:eastAsia="Times New Roman" w:hAnsi="Times New Roman" w:cs="Times New Roman"/>
          <w:sz w:val="24"/>
          <w:szCs w:val="20"/>
          <w:lang w:eastAsia="cs-CZ"/>
        </w:rPr>
        <w:t xml:space="preserve"> postupů.</w:t>
      </w:r>
    </w:p>
    <w:p w:rsidR="00A948CA" w:rsidRPr="00A948CA" w:rsidRDefault="00A948CA" w:rsidP="00A948CA">
      <w:pPr>
        <w:spacing w:before="120" w:after="120"/>
        <w:rPr>
          <w:rFonts w:ascii="Times New Roman" w:eastAsia="Times New Roman" w:hAnsi="Times New Roman" w:cs="Times New Roman"/>
          <w:sz w:val="24"/>
          <w:szCs w:val="20"/>
          <w:lang w:eastAsia="cs-CZ"/>
        </w:rPr>
      </w:pPr>
      <w:r w:rsidRPr="00A948CA">
        <w:rPr>
          <w:rFonts w:ascii="Times New Roman" w:eastAsia="Times New Roman" w:hAnsi="Times New Roman" w:cs="Times New Roman"/>
          <w:sz w:val="24"/>
          <w:szCs w:val="20"/>
          <w:lang w:eastAsia="cs-CZ"/>
        </w:rPr>
        <w:t xml:space="preserve">V legislativě USA </w:t>
      </w:r>
      <w:r w:rsidR="00451EBA" w:rsidRPr="00A948CA">
        <w:rPr>
          <w:rFonts w:ascii="Times New Roman" w:eastAsia="Times New Roman" w:hAnsi="Times New Roman" w:cs="Times New Roman"/>
          <w:sz w:val="24"/>
          <w:szCs w:val="20"/>
          <w:lang w:eastAsia="cs-CZ"/>
        </w:rPr>
        <w:t>jsou brány</w:t>
      </w:r>
      <w:r w:rsidRPr="00A948CA">
        <w:rPr>
          <w:rFonts w:ascii="Times New Roman" w:eastAsia="Times New Roman" w:hAnsi="Times New Roman" w:cs="Times New Roman"/>
          <w:sz w:val="24"/>
          <w:szCs w:val="20"/>
          <w:lang w:eastAsia="cs-CZ"/>
        </w:rPr>
        <w:t xml:space="preserve"> v úvahu i preventivní obsahy rizikových látek v půdě, pozornost se však pragmaticky zaměřuje na rizika, vyplývající z kontaminace půd (</w:t>
      </w:r>
      <w:proofErr w:type="spellStart"/>
      <w:r w:rsidRPr="00A948CA">
        <w:rPr>
          <w:rFonts w:ascii="Times New Roman" w:eastAsia="Times New Roman" w:hAnsi="Times New Roman" w:cs="Times New Roman"/>
          <w:sz w:val="24"/>
          <w:szCs w:val="20"/>
          <w:lang w:eastAsia="cs-CZ"/>
        </w:rPr>
        <w:t>Superfund</w:t>
      </w:r>
      <w:proofErr w:type="spellEnd"/>
      <w:r w:rsidRPr="00A948CA">
        <w:rPr>
          <w:rFonts w:ascii="Times New Roman" w:eastAsia="Times New Roman" w:hAnsi="Times New Roman" w:cs="Times New Roman"/>
          <w:sz w:val="24"/>
          <w:szCs w:val="20"/>
          <w:lang w:eastAsia="cs-CZ"/>
        </w:rPr>
        <w:t xml:space="preserve"> program) v urbánních a industriálních oblastech. Stanovené limitní hodnoty, včetně hodnoty pro </w:t>
      </w:r>
      <w:proofErr w:type="spellStart"/>
      <w:r w:rsidRPr="00A948CA">
        <w:rPr>
          <w:rFonts w:ascii="Times New Roman" w:eastAsia="Times New Roman" w:hAnsi="Times New Roman" w:cs="Times New Roman"/>
          <w:sz w:val="24"/>
          <w:szCs w:val="20"/>
          <w:lang w:eastAsia="cs-CZ"/>
        </w:rPr>
        <w:t>POPs</w:t>
      </w:r>
      <w:proofErr w:type="spellEnd"/>
      <w:r w:rsidRPr="00A948CA">
        <w:rPr>
          <w:rFonts w:ascii="Times New Roman" w:eastAsia="Times New Roman" w:hAnsi="Times New Roman" w:cs="Times New Roman"/>
          <w:sz w:val="24"/>
          <w:szCs w:val="20"/>
          <w:lang w:eastAsia="cs-CZ"/>
        </w:rPr>
        <w:t xml:space="preserve">, se proto více vztahují k ochraně lidského zdraví (perorální a inhalační příjem), v jisté míře však také k vlivu na ostatní složky prostředí, konkrétně na podzemní vodu, kdy v rámci studie rizikových analýz (risk </w:t>
      </w:r>
      <w:proofErr w:type="spellStart"/>
      <w:r w:rsidRPr="00A948CA">
        <w:rPr>
          <w:rFonts w:ascii="Times New Roman" w:eastAsia="Times New Roman" w:hAnsi="Times New Roman" w:cs="Times New Roman"/>
          <w:sz w:val="24"/>
          <w:szCs w:val="20"/>
          <w:lang w:eastAsia="cs-CZ"/>
        </w:rPr>
        <w:t>assessment</w:t>
      </w:r>
      <w:proofErr w:type="spellEnd"/>
      <w:r w:rsidRPr="00A948CA">
        <w:rPr>
          <w:rFonts w:ascii="Times New Roman" w:eastAsia="Times New Roman" w:hAnsi="Times New Roman" w:cs="Times New Roman"/>
          <w:sz w:val="24"/>
          <w:szCs w:val="20"/>
          <w:lang w:eastAsia="cs-CZ"/>
        </w:rPr>
        <w:t>), která se provádí po zjištění překročení stanovených limitů, je zjišťována hloubka kontaminace a pronikání kontaminace do spodní vody (styk kontaminované půdy s hladinou spodní vody). Koncentrace rizikových látek se dělí do třech kategorií:</w:t>
      </w:r>
    </w:p>
    <w:p w:rsidR="00A948CA" w:rsidRPr="00A948CA" w:rsidRDefault="00A948CA" w:rsidP="00A948CA">
      <w:pPr>
        <w:numPr>
          <w:ilvl w:val="0"/>
          <w:numId w:val="15"/>
        </w:numPr>
        <w:spacing w:after="0" w:line="240" w:lineRule="auto"/>
        <w:rPr>
          <w:rFonts w:ascii="Times New Roman" w:eastAsia="Times New Roman" w:hAnsi="Times New Roman" w:cs="Times New Roman"/>
          <w:sz w:val="24"/>
          <w:szCs w:val="20"/>
          <w:lang w:eastAsia="cs-CZ"/>
        </w:rPr>
      </w:pPr>
      <w:r w:rsidRPr="00A948CA">
        <w:rPr>
          <w:rFonts w:ascii="Times New Roman" w:eastAsia="Times New Roman" w:hAnsi="Times New Roman" w:cs="Times New Roman"/>
          <w:sz w:val="24"/>
          <w:szCs w:val="20"/>
          <w:lang w:eastAsia="cs-CZ"/>
        </w:rPr>
        <w:t xml:space="preserve">V rozmezí hodnoty </w:t>
      </w:r>
      <w:proofErr w:type="spellStart"/>
      <w:r w:rsidRPr="00A948CA">
        <w:rPr>
          <w:rFonts w:ascii="Times New Roman" w:eastAsia="Times New Roman" w:hAnsi="Times New Roman" w:cs="Times New Roman"/>
          <w:sz w:val="24"/>
          <w:szCs w:val="20"/>
          <w:lang w:eastAsia="cs-CZ"/>
        </w:rPr>
        <w:t>pozaďové</w:t>
      </w:r>
      <w:proofErr w:type="spellEnd"/>
      <w:r w:rsidRPr="00A948CA">
        <w:rPr>
          <w:rFonts w:ascii="Times New Roman" w:eastAsia="Times New Roman" w:hAnsi="Times New Roman" w:cs="Times New Roman"/>
          <w:sz w:val="24"/>
          <w:szCs w:val="20"/>
          <w:lang w:eastAsia="cs-CZ"/>
        </w:rPr>
        <w:t xml:space="preserve"> a ochranné (</w:t>
      </w:r>
      <w:proofErr w:type="spellStart"/>
      <w:r w:rsidRPr="00A948CA">
        <w:rPr>
          <w:rFonts w:ascii="Times New Roman" w:eastAsia="Times New Roman" w:hAnsi="Times New Roman" w:cs="Times New Roman"/>
          <w:sz w:val="24"/>
          <w:szCs w:val="20"/>
          <w:lang w:eastAsia="cs-CZ"/>
        </w:rPr>
        <w:t>soil</w:t>
      </w:r>
      <w:proofErr w:type="spellEnd"/>
      <w:r w:rsidRPr="00A948CA">
        <w:rPr>
          <w:rFonts w:ascii="Times New Roman" w:eastAsia="Times New Roman" w:hAnsi="Times New Roman" w:cs="Times New Roman"/>
          <w:sz w:val="24"/>
          <w:szCs w:val="20"/>
          <w:lang w:eastAsia="cs-CZ"/>
        </w:rPr>
        <w:t xml:space="preserve"> </w:t>
      </w:r>
      <w:proofErr w:type="spellStart"/>
      <w:r w:rsidRPr="00A948CA">
        <w:rPr>
          <w:rFonts w:ascii="Times New Roman" w:eastAsia="Times New Roman" w:hAnsi="Times New Roman" w:cs="Times New Roman"/>
          <w:sz w:val="24"/>
          <w:szCs w:val="20"/>
          <w:lang w:eastAsia="cs-CZ"/>
        </w:rPr>
        <w:t>screening</w:t>
      </w:r>
      <w:proofErr w:type="spellEnd"/>
      <w:r w:rsidRPr="00A948CA">
        <w:rPr>
          <w:rFonts w:ascii="Times New Roman" w:eastAsia="Times New Roman" w:hAnsi="Times New Roman" w:cs="Times New Roman"/>
          <w:sz w:val="24"/>
          <w:szCs w:val="20"/>
          <w:lang w:eastAsia="cs-CZ"/>
        </w:rPr>
        <w:t xml:space="preserve"> </w:t>
      </w:r>
      <w:proofErr w:type="spellStart"/>
      <w:r w:rsidRPr="00A948CA">
        <w:rPr>
          <w:rFonts w:ascii="Times New Roman" w:eastAsia="Times New Roman" w:hAnsi="Times New Roman" w:cs="Times New Roman"/>
          <w:sz w:val="24"/>
          <w:szCs w:val="20"/>
          <w:lang w:eastAsia="cs-CZ"/>
        </w:rPr>
        <w:t>level</w:t>
      </w:r>
      <w:proofErr w:type="spellEnd"/>
      <w:r w:rsidRPr="00A948CA">
        <w:rPr>
          <w:rFonts w:ascii="Times New Roman" w:eastAsia="Times New Roman" w:hAnsi="Times New Roman" w:cs="Times New Roman"/>
          <w:sz w:val="24"/>
          <w:szCs w:val="20"/>
          <w:lang w:eastAsia="cs-CZ"/>
        </w:rPr>
        <w:t>)</w:t>
      </w:r>
      <w:r w:rsidR="00451EBA">
        <w:rPr>
          <w:rFonts w:ascii="Times New Roman" w:eastAsia="Times New Roman" w:hAnsi="Times New Roman" w:cs="Times New Roman"/>
          <w:sz w:val="24"/>
          <w:szCs w:val="20"/>
          <w:lang w:eastAsia="cs-CZ"/>
        </w:rPr>
        <w:t>.</w:t>
      </w:r>
    </w:p>
    <w:p w:rsidR="00A948CA" w:rsidRPr="00A948CA" w:rsidRDefault="00A948CA" w:rsidP="00A948CA">
      <w:pPr>
        <w:numPr>
          <w:ilvl w:val="0"/>
          <w:numId w:val="15"/>
        </w:numPr>
        <w:spacing w:after="0" w:line="240" w:lineRule="auto"/>
        <w:rPr>
          <w:rFonts w:ascii="Times New Roman" w:eastAsia="Times New Roman" w:hAnsi="Times New Roman" w:cs="Times New Roman"/>
          <w:sz w:val="24"/>
          <w:szCs w:val="20"/>
          <w:lang w:eastAsia="cs-CZ"/>
        </w:rPr>
      </w:pPr>
      <w:r w:rsidRPr="00A948CA">
        <w:rPr>
          <w:rFonts w:ascii="Times New Roman" w:eastAsia="Times New Roman" w:hAnsi="Times New Roman" w:cs="Times New Roman"/>
          <w:sz w:val="24"/>
          <w:szCs w:val="20"/>
          <w:lang w:eastAsia="cs-CZ"/>
        </w:rPr>
        <w:t>V </w:t>
      </w:r>
      <w:proofErr w:type="spellStart"/>
      <w:r w:rsidRPr="00A948CA">
        <w:rPr>
          <w:rFonts w:ascii="Times New Roman" w:eastAsia="Times New Roman" w:hAnsi="Times New Roman" w:cs="Times New Roman"/>
          <w:sz w:val="24"/>
          <w:szCs w:val="20"/>
          <w:lang w:eastAsia="cs-CZ"/>
        </w:rPr>
        <w:t>rozmezi</w:t>
      </w:r>
      <w:proofErr w:type="spellEnd"/>
      <w:r w:rsidRPr="00A948CA">
        <w:rPr>
          <w:rFonts w:ascii="Times New Roman" w:eastAsia="Times New Roman" w:hAnsi="Times New Roman" w:cs="Times New Roman"/>
          <w:sz w:val="24"/>
          <w:szCs w:val="20"/>
          <w:lang w:eastAsia="cs-CZ"/>
        </w:rPr>
        <w:t xml:space="preserve"> hodnoty ochranné a hodnoty odezvy (response </w:t>
      </w:r>
      <w:proofErr w:type="spellStart"/>
      <w:r w:rsidRPr="00A948CA">
        <w:rPr>
          <w:rFonts w:ascii="Times New Roman" w:eastAsia="Times New Roman" w:hAnsi="Times New Roman" w:cs="Times New Roman"/>
          <w:sz w:val="24"/>
          <w:szCs w:val="20"/>
          <w:lang w:eastAsia="cs-CZ"/>
        </w:rPr>
        <w:t>level</w:t>
      </w:r>
      <w:proofErr w:type="spellEnd"/>
      <w:r w:rsidRPr="00A948CA">
        <w:rPr>
          <w:rFonts w:ascii="Times New Roman" w:eastAsia="Times New Roman" w:hAnsi="Times New Roman" w:cs="Times New Roman"/>
          <w:sz w:val="24"/>
          <w:szCs w:val="20"/>
          <w:lang w:eastAsia="cs-CZ"/>
        </w:rPr>
        <w:t>)</w:t>
      </w:r>
      <w:r w:rsidR="00451EBA">
        <w:rPr>
          <w:rFonts w:ascii="Times New Roman" w:eastAsia="Times New Roman" w:hAnsi="Times New Roman" w:cs="Times New Roman"/>
          <w:sz w:val="24"/>
          <w:szCs w:val="20"/>
          <w:lang w:eastAsia="cs-CZ"/>
        </w:rPr>
        <w:t>.</w:t>
      </w:r>
    </w:p>
    <w:p w:rsidR="00A948CA" w:rsidRPr="00A948CA" w:rsidRDefault="00A948CA" w:rsidP="00A948CA">
      <w:pPr>
        <w:numPr>
          <w:ilvl w:val="0"/>
          <w:numId w:val="15"/>
        </w:numPr>
        <w:spacing w:after="120" w:line="240" w:lineRule="auto"/>
        <w:ind w:left="714" w:hanging="357"/>
        <w:rPr>
          <w:rFonts w:ascii="Times New Roman" w:eastAsia="Times New Roman" w:hAnsi="Times New Roman" w:cs="Times New Roman"/>
          <w:sz w:val="24"/>
          <w:szCs w:val="20"/>
          <w:lang w:eastAsia="cs-CZ"/>
        </w:rPr>
      </w:pPr>
      <w:r w:rsidRPr="00A948CA">
        <w:rPr>
          <w:rFonts w:ascii="Times New Roman" w:eastAsia="Times New Roman" w:hAnsi="Times New Roman" w:cs="Times New Roman"/>
          <w:sz w:val="24"/>
          <w:szCs w:val="20"/>
          <w:lang w:eastAsia="cs-CZ"/>
        </w:rPr>
        <w:t>Od hodnoty odezvy až k vysokým koncentracím</w:t>
      </w:r>
      <w:r w:rsidR="00451EBA">
        <w:rPr>
          <w:rFonts w:ascii="Times New Roman" w:eastAsia="Times New Roman" w:hAnsi="Times New Roman" w:cs="Times New Roman"/>
          <w:sz w:val="24"/>
          <w:szCs w:val="20"/>
          <w:lang w:eastAsia="cs-CZ"/>
        </w:rPr>
        <w:t>.</w:t>
      </w:r>
    </w:p>
    <w:p w:rsidR="00A948CA" w:rsidRPr="00A948CA" w:rsidRDefault="00A948CA" w:rsidP="00A948CA">
      <w:pPr>
        <w:rPr>
          <w:rFonts w:ascii="Times New Roman" w:eastAsia="Times New Roman" w:hAnsi="Times New Roman" w:cs="Times New Roman"/>
          <w:sz w:val="24"/>
          <w:szCs w:val="20"/>
          <w:lang w:eastAsia="cs-CZ"/>
        </w:rPr>
      </w:pPr>
      <w:r w:rsidRPr="00A948CA">
        <w:rPr>
          <w:rFonts w:ascii="Times New Roman" w:eastAsia="Times New Roman" w:hAnsi="Times New Roman" w:cs="Times New Roman"/>
          <w:sz w:val="24"/>
          <w:szCs w:val="20"/>
          <w:lang w:eastAsia="cs-CZ"/>
        </w:rPr>
        <w:t>Z hlediska interpretace hodnot se postupuje tak, že v rámci první oblasti není třeba provádět žádná opatření. V rámci druhé oblasti jsou k dispozici diferenciační hodnoty podle kvality stanoviště a podle aktuálního a předpokládaného způsobu jeho využití. Třetí oblast vymezuje aplikaci sanačních opatření.</w:t>
      </w:r>
    </w:p>
    <w:p w:rsidR="00A948CA" w:rsidRPr="00A948CA" w:rsidRDefault="00A948CA" w:rsidP="00A948CA">
      <w:pPr>
        <w:spacing w:before="120" w:after="120"/>
        <w:rPr>
          <w:rFonts w:ascii="Times New Roman" w:eastAsia="Times New Roman" w:hAnsi="Times New Roman" w:cs="Times New Roman"/>
          <w:sz w:val="24"/>
          <w:szCs w:val="20"/>
          <w:lang w:eastAsia="cs-CZ"/>
        </w:rPr>
      </w:pPr>
      <w:r w:rsidRPr="00A948CA">
        <w:rPr>
          <w:rFonts w:ascii="Times New Roman" w:eastAsia="Times New Roman" w:hAnsi="Times New Roman" w:cs="Times New Roman"/>
          <w:sz w:val="24"/>
          <w:szCs w:val="20"/>
          <w:lang w:eastAsia="cs-CZ"/>
        </w:rPr>
        <w:t>V Kanadě se pozornost neomezuje pouze na půdy z urbánních a průmyslových oblastí, jako je tomu ve Velké Británii nebo USA, ale je brán zřetel i na půdy zemědělské. Limitovány jsou i vstupy rizikových látek do půd aplikací kalů ČOV. Nicméně vstup rizikových látek do potravního řetězce se v systému limitních hodnot neuplatňuje.</w:t>
      </w:r>
    </w:p>
    <w:p w:rsidR="00A948CA" w:rsidRPr="00A948CA" w:rsidRDefault="00A948CA" w:rsidP="00A948CA">
      <w:pPr>
        <w:spacing w:after="120"/>
        <w:rPr>
          <w:rFonts w:ascii="Times New Roman" w:eastAsia="Times New Roman" w:hAnsi="Times New Roman" w:cs="Times New Roman"/>
          <w:sz w:val="24"/>
          <w:szCs w:val="20"/>
          <w:lang w:eastAsia="cs-CZ"/>
        </w:rPr>
      </w:pPr>
      <w:r w:rsidRPr="00A948CA">
        <w:rPr>
          <w:rFonts w:ascii="Times New Roman" w:eastAsia="Times New Roman" w:hAnsi="Times New Roman" w:cs="Times New Roman"/>
          <w:sz w:val="24"/>
          <w:szCs w:val="20"/>
          <w:lang w:eastAsia="cs-CZ"/>
        </w:rPr>
        <w:t xml:space="preserve">Již v roce 1989 byl v Kanadě zahájen Federální program </w:t>
      </w:r>
      <w:proofErr w:type="spellStart"/>
      <w:r w:rsidRPr="00A948CA">
        <w:rPr>
          <w:rFonts w:ascii="Times New Roman" w:eastAsia="Times New Roman" w:hAnsi="Times New Roman" w:cs="Times New Roman"/>
          <w:sz w:val="24"/>
          <w:szCs w:val="20"/>
          <w:lang w:eastAsia="cs-CZ"/>
        </w:rPr>
        <w:t>remediace</w:t>
      </w:r>
      <w:proofErr w:type="spellEnd"/>
      <w:r w:rsidRPr="00A948CA">
        <w:rPr>
          <w:rFonts w:ascii="Times New Roman" w:eastAsia="Times New Roman" w:hAnsi="Times New Roman" w:cs="Times New Roman"/>
          <w:sz w:val="24"/>
          <w:szCs w:val="20"/>
          <w:lang w:eastAsia="cs-CZ"/>
        </w:rPr>
        <w:t xml:space="preserve"> kontaminovaných půd (</w:t>
      </w:r>
      <w:proofErr w:type="spellStart"/>
      <w:r w:rsidRPr="00A948CA">
        <w:rPr>
          <w:rFonts w:ascii="Times New Roman" w:eastAsia="Times New Roman" w:hAnsi="Times New Roman" w:cs="Times New Roman"/>
          <w:sz w:val="24"/>
          <w:szCs w:val="20"/>
          <w:lang w:eastAsia="cs-CZ"/>
        </w:rPr>
        <w:t>National</w:t>
      </w:r>
      <w:proofErr w:type="spellEnd"/>
      <w:r w:rsidRPr="00A948CA">
        <w:rPr>
          <w:rFonts w:ascii="Times New Roman" w:eastAsia="Times New Roman" w:hAnsi="Times New Roman" w:cs="Times New Roman"/>
          <w:sz w:val="24"/>
          <w:szCs w:val="20"/>
          <w:lang w:eastAsia="cs-CZ"/>
        </w:rPr>
        <w:t xml:space="preserve"> </w:t>
      </w:r>
      <w:proofErr w:type="spellStart"/>
      <w:r w:rsidRPr="00A948CA">
        <w:rPr>
          <w:rFonts w:ascii="Times New Roman" w:eastAsia="Times New Roman" w:hAnsi="Times New Roman" w:cs="Times New Roman"/>
          <w:sz w:val="24"/>
          <w:szCs w:val="20"/>
          <w:lang w:eastAsia="cs-CZ"/>
        </w:rPr>
        <w:t>contaminated</w:t>
      </w:r>
      <w:proofErr w:type="spellEnd"/>
      <w:r w:rsidRPr="00A948CA">
        <w:rPr>
          <w:rFonts w:ascii="Times New Roman" w:eastAsia="Times New Roman" w:hAnsi="Times New Roman" w:cs="Times New Roman"/>
          <w:sz w:val="24"/>
          <w:szCs w:val="20"/>
          <w:lang w:eastAsia="cs-CZ"/>
        </w:rPr>
        <w:t xml:space="preserve"> </w:t>
      </w:r>
      <w:proofErr w:type="spellStart"/>
      <w:r w:rsidRPr="00A948CA">
        <w:rPr>
          <w:rFonts w:ascii="Times New Roman" w:eastAsia="Times New Roman" w:hAnsi="Times New Roman" w:cs="Times New Roman"/>
          <w:sz w:val="24"/>
          <w:szCs w:val="20"/>
          <w:lang w:eastAsia="cs-CZ"/>
        </w:rPr>
        <w:t>sites</w:t>
      </w:r>
      <w:proofErr w:type="spellEnd"/>
      <w:r w:rsidRPr="00A948CA">
        <w:rPr>
          <w:rFonts w:ascii="Times New Roman" w:eastAsia="Times New Roman" w:hAnsi="Times New Roman" w:cs="Times New Roman"/>
          <w:sz w:val="24"/>
          <w:szCs w:val="20"/>
          <w:lang w:eastAsia="cs-CZ"/>
        </w:rPr>
        <w:t xml:space="preserve"> </w:t>
      </w:r>
      <w:proofErr w:type="spellStart"/>
      <w:r w:rsidRPr="00A948CA">
        <w:rPr>
          <w:rFonts w:ascii="Times New Roman" w:eastAsia="Times New Roman" w:hAnsi="Times New Roman" w:cs="Times New Roman"/>
          <w:sz w:val="24"/>
          <w:szCs w:val="20"/>
          <w:lang w:eastAsia="cs-CZ"/>
        </w:rPr>
        <w:t>Remediation</w:t>
      </w:r>
      <w:proofErr w:type="spellEnd"/>
      <w:r w:rsidRPr="00A948CA">
        <w:rPr>
          <w:rFonts w:ascii="Times New Roman" w:eastAsia="Times New Roman" w:hAnsi="Times New Roman" w:cs="Times New Roman"/>
          <w:sz w:val="24"/>
          <w:szCs w:val="20"/>
          <w:lang w:eastAsia="cs-CZ"/>
        </w:rPr>
        <w:t xml:space="preserve"> Program – NCSRP), který spočívá na těchto odborných podkladech:</w:t>
      </w:r>
    </w:p>
    <w:p w:rsidR="00A948CA" w:rsidRPr="00A948CA" w:rsidRDefault="00A948CA" w:rsidP="00A948CA">
      <w:pPr>
        <w:numPr>
          <w:ilvl w:val="0"/>
          <w:numId w:val="15"/>
        </w:numPr>
        <w:spacing w:after="0" w:line="240" w:lineRule="auto"/>
        <w:rPr>
          <w:rFonts w:ascii="Times New Roman" w:eastAsia="Times New Roman" w:hAnsi="Times New Roman" w:cs="Times New Roman"/>
          <w:sz w:val="24"/>
          <w:szCs w:val="20"/>
          <w:lang w:eastAsia="cs-CZ"/>
        </w:rPr>
      </w:pPr>
      <w:r w:rsidRPr="00A948CA">
        <w:rPr>
          <w:rFonts w:ascii="Times New Roman" w:eastAsia="Times New Roman" w:hAnsi="Times New Roman" w:cs="Times New Roman"/>
          <w:sz w:val="24"/>
          <w:szCs w:val="20"/>
          <w:lang w:eastAsia="cs-CZ"/>
        </w:rPr>
        <w:t>Národní systém klasifikace kontaminovaných stanovišť, zahrnující inventarizační údaje o stanovištích. Ta jsou rozdělena na tři stupně rizikovosti (nízká, střední a vysoká).</w:t>
      </w:r>
    </w:p>
    <w:p w:rsidR="00A948CA" w:rsidRPr="00A948CA" w:rsidRDefault="00A948CA" w:rsidP="00A948CA">
      <w:pPr>
        <w:numPr>
          <w:ilvl w:val="0"/>
          <w:numId w:val="15"/>
        </w:numPr>
        <w:spacing w:after="0" w:line="240" w:lineRule="auto"/>
        <w:rPr>
          <w:rFonts w:ascii="Times New Roman" w:eastAsia="Times New Roman" w:hAnsi="Times New Roman" w:cs="Times New Roman"/>
          <w:sz w:val="24"/>
          <w:szCs w:val="20"/>
          <w:lang w:eastAsia="cs-CZ"/>
        </w:rPr>
      </w:pPr>
      <w:r w:rsidRPr="00A948CA">
        <w:rPr>
          <w:rFonts w:ascii="Times New Roman" w:eastAsia="Times New Roman" w:hAnsi="Times New Roman" w:cs="Times New Roman"/>
          <w:sz w:val="24"/>
          <w:szCs w:val="20"/>
          <w:lang w:eastAsia="cs-CZ"/>
        </w:rPr>
        <w:t>Kanadská kritéria environmentální kvality kontaminovaných půd, zahrnující limitní koncentrace kontaminantů k hodnocení stupně zatížení a nutnosti sanace půdy pro tři typy využití půd: zemědělské, sídlištní-včetně parků, komerční a průmyslové. Přitom kritéria je možné dělit na:</w:t>
      </w:r>
    </w:p>
    <w:p w:rsidR="00A948CA" w:rsidRPr="00A948CA" w:rsidRDefault="00A948CA" w:rsidP="00A948CA">
      <w:pPr>
        <w:numPr>
          <w:ilvl w:val="0"/>
          <w:numId w:val="16"/>
        </w:numPr>
        <w:spacing w:after="0" w:line="240" w:lineRule="auto"/>
        <w:rPr>
          <w:rFonts w:ascii="Times New Roman" w:eastAsia="Times New Roman" w:hAnsi="Times New Roman" w:cs="Times New Roman"/>
          <w:sz w:val="24"/>
          <w:szCs w:val="20"/>
          <w:lang w:eastAsia="cs-CZ"/>
        </w:rPr>
      </w:pPr>
      <w:r w:rsidRPr="00A948CA">
        <w:rPr>
          <w:rFonts w:ascii="Times New Roman" w:eastAsia="Times New Roman" w:hAnsi="Times New Roman" w:cs="Times New Roman"/>
          <w:sz w:val="24"/>
          <w:szCs w:val="20"/>
          <w:lang w:eastAsia="cs-CZ"/>
        </w:rPr>
        <w:t>Hodnotící (</w:t>
      </w:r>
      <w:proofErr w:type="spellStart"/>
      <w:r w:rsidRPr="00A948CA">
        <w:rPr>
          <w:rFonts w:ascii="Times New Roman" w:eastAsia="Times New Roman" w:hAnsi="Times New Roman" w:cs="Times New Roman"/>
          <w:sz w:val="24"/>
          <w:szCs w:val="20"/>
          <w:lang w:eastAsia="cs-CZ"/>
        </w:rPr>
        <w:t>assessment</w:t>
      </w:r>
      <w:proofErr w:type="spellEnd"/>
      <w:r w:rsidRPr="00A948CA">
        <w:rPr>
          <w:rFonts w:ascii="Times New Roman" w:eastAsia="Times New Roman" w:hAnsi="Times New Roman" w:cs="Times New Roman"/>
          <w:sz w:val="24"/>
          <w:szCs w:val="20"/>
          <w:lang w:eastAsia="cs-CZ"/>
        </w:rPr>
        <w:t>), které slouží k identifikaci kontaminace stanoviště a potřeb další činnosti</w:t>
      </w:r>
    </w:p>
    <w:p w:rsidR="00A948CA" w:rsidRDefault="00A948CA" w:rsidP="00A948CA">
      <w:pPr>
        <w:numPr>
          <w:ilvl w:val="0"/>
          <w:numId w:val="16"/>
        </w:numPr>
        <w:spacing w:after="0" w:line="240" w:lineRule="auto"/>
        <w:rPr>
          <w:rFonts w:ascii="Times New Roman" w:eastAsia="Times New Roman" w:hAnsi="Times New Roman" w:cs="Times New Roman"/>
          <w:sz w:val="24"/>
          <w:szCs w:val="20"/>
          <w:lang w:eastAsia="cs-CZ"/>
        </w:rPr>
      </w:pPr>
      <w:proofErr w:type="spellStart"/>
      <w:r w:rsidRPr="00A948CA">
        <w:rPr>
          <w:rFonts w:ascii="Times New Roman" w:eastAsia="Times New Roman" w:hAnsi="Times New Roman" w:cs="Times New Roman"/>
          <w:sz w:val="24"/>
          <w:szCs w:val="20"/>
          <w:lang w:eastAsia="cs-CZ"/>
        </w:rPr>
        <w:t>Remediační</w:t>
      </w:r>
      <w:proofErr w:type="spellEnd"/>
      <w:r w:rsidRPr="00A948CA">
        <w:rPr>
          <w:rFonts w:ascii="Times New Roman" w:eastAsia="Times New Roman" w:hAnsi="Times New Roman" w:cs="Times New Roman"/>
          <w:sz w:val="24"/>
          <w:szCs w:val="20"/>
          <w:lang w:eastAsia="cs-CZ"/>
        </w:rPr>
        <w:t>, ta poskytují podklad ke stanovení stanovištně specifických sanačních cílů. Opět se uplatňují principy ohrožení zdraví člověka, rizika pro životní prostředí. Potřeby dalších šetření nebo nemediačních postupů je dáno aktuálním nebo zamýšleným způsobem využití půdy.</w:t>
      </w:r>
    </w:p>
    <w:p w:rsidR="001D121B" w:rsidRDefault="001D121B" w:rsidP="001D121B">
      <w:pPr>
        <w:spacing w:after="0" w:line="240" w:lineRule="auto"/>
        <w:rPr>
          <w:rFonts w:ascii="Times New Roman" w:eastAsia="Times New Roman" w:hAnsi="Times New Roman" w:cs="Times New Roman"/>
          <w:sz w:val="24"/>
          <w:szCs w:val="20"/>
          <w:lang w:eastAsia="cs-CZ"/>
        </w:rPr>
      </w:pPr>
    </w:p>
    <w:p w:rsidR="001D121B" w:rsidRDefault="001D121B" w:rsidP="001D121B">
      <w:pPr>
        <w:spacing w:after="0" w:line="240" w:lineRule="auto"/>
        <w:rPr>
          <w:rFonts w:ascii="Times New Roman" w:eastAsia="Times New Roman" w:hAnsi="Times New Roman" w:cs="Times New Roman"/>
          <w:sz w:val="24"/>
          <w:szCs w:val="20"/>
          <w:lang w:eastAsia="cs-CZ"/>
        </w:rPr>
      </w:pPr>
    </w:p>
    <w:p w:rsidR="001D121B" w:rsidRPr="001D121B" w:rsidRDefault="001D121B" w:rsidP="001D121B">
      <w:pPr>
        <w:pStyle w:val="Odstavecseseznamem"/>
        <w:numPr>
          <w:ilvl w:val="1"/>
          <w:numId w:val="9"/>
        </w:numPr>
        <w:spacing w:after="240" w:line="240" w:lineRule="auto"/>
        <w:rPr>
          <w:rFonts w:ascii="Times New Roman" w:eastAsia="Times New Roman" w:hAnsi="Times New Roman" w:cs="Times New Roman"/>
          <w:i/>
          <w:sz w:val="24"/>
          <w:szCs w:val="20"/>
          <w:lang w:eastAsia="cs-CZ"/>
        </w:rPr>
      </w:pPr>
      <w:r>
        <w:rPr>
          <w:rFonts w:ascii="Times New Roman" w:eastAsia="Times New Roman" w:hAnsi="Times New Roman" w:cs="Times New Roman"/>
          <w:i/>
          <w:sz w:val="24"/>
          <w:szCs w:val="20"/>
          <w:lang w:eastAsia="cs-CZ"/>
        </w:rPr>
        <w:t xml:space="preserve"> </w:t>
      </w:r>
      <w:r w:rsidRPr="001D121B">
        <w:rPr>
          <w:rFonts w:ascii="Times New Roman" w:eastAsia="Times New Roman" w:hAnsi="Times New Roman" w:cs="Times New Roman"/>
          <w:i/>
          <w:sz w:val="24"/>
          <w:szCs w:val="20"/>
          <w:lang w:eastAsia="cs-CZ"/>
        </w:rPr>
        <w:t>Limitní obsahy rizikových prvků a perzistentních organických polutantů v zemědělských půdách v ČR</w:t>
      </w:r>
    </w:p>
    <w:p w:rsidR="001D121B" w:rsidRPr="00AF78CA" w:rsidRDefault="001D121B" w:rsidP="001D121B">
      <w:pPr>
        <w:spacing w:after="120" w:line="240" w:lineRule="auto"/>
        <w:rPr>
          <w:rFonts w:ascii="Times New Roman" w:hAnsi="Times New Roman" w:cs="Times New Roman"/>
          <w:sz w:val="24"/>
          <w:szCs w:val="24"/>
        </w:rPr>
      </w:pPr>
      <w:r w:rsidRPr="00AF78CA">
        <w:rPr>
          <w:rFonts w:ascii="Times New Roman" w:hAnsi="Times New Roman" w:cs="Times New Roman"/>
          <w:sz w:val="24"/>
          <w:szCs w:val="24"/>
        </w:rPr>
        <w:t>V České republice máme k dispozici legislativu, která limituje obsah rizikových prvků a látek v zemědělských půdách již od roku 1994, vyhláška Ministerstva životního prostředí č. 13/1994 Sb., uváděla maximálně přípustné obsahy rizikových prvků a perzistentních organických polutantů v zemědělských půdách. Tato vyhláška byla koncipována jako jednostupňový systém limitních hodnot, který udával obsahy rizikových prvků v extraktu 2M HNO</w:t>
      </w:r>
      <w:r w:rsidRPr="00B60715">
        <w:rPr>
          <w:rFonts w:ascii="Times New Roman" w:hAnsi="Times New Roman" w:cs="Times New Roman"/>
          <w:sz w:val="24"/>
          <w:szCs w:val="24"/>
          <w:vertAlign w:val="subscript"/>
        </w:rPr>
        <w:t>3</w:t>
      </w:r>
      <w:r w:rsidRPr="00AF78CA">
        <w:rPr>
          <w:rFonts w:ascii="Times New Roman" w:hAnsi="Times New Roman" w:cs="Times New Roman"/>
          <w:sz w:val="24"/>
          <w:szCs w:val="24"/>
        </w:rPr>
        <w:t xml:space="preserve"> a v extraktu lučavky královské (tzv. </w:t>
      </w:r>
      <w:proofErr w:type="spellStart"/>
      <w:r w:rsidRPr="00AF78CA">
        <w:rPr>
          <w:rFonts w:ascii="Times New Roman" w:hAnsi="Times New Roman" w:cs="Times New Roman"/>
          <w:sz w:val="24"/>
          <w:szCs w:val="24"/>
        </w:rPr>
        <w:t>pseudototální</w:t>
      </w:r>
      <w:proofErr w:type="spellEnd"/>
      <w:r w:rsidRPr="00AF78CA">
        <w:rPr>
          <w:rFonts w:ascii="Times New Roman" w:hAnsi="Times New Roman" w:cs="Times New Roman"/>
          <w:sz w:val="24"/>
          <w:szCs w:val="24"/>
        </w:rPr>
        <w:t xml:space="preserve"> obsahy). Obsahy POP byly uváděny jako celkové obsahy. Tato verze vyhlášky byla v platnosti až do roku 2015, přestože již v roce 2002 byl předložen první návrh její novelizace (Sáňka et al.</w:t>
      </w:r>
      <w:r w:rsidR="00BD7D2D">
        <w:rPr>
          <w:rFonts w:ascii="Times New Roman" w:hAnsi="Times New Roman" w:cs="Times New Roman"/>
          <w:sz w:val="24"/>
          <w:szCs w:val="24"/>
        </w:rPr>
        <w:t>,</w:t>
      </w:r>
      <w:r w:rsidRPr="00AF78CA">
        <w:rPr>
          <w:rFonts w:ascii="Times New Roman" w:hAnsi="Times New Roman" w:cs="Times New Roman"/>
          <w:sz w:val="24"/>
          <w:szCs w:val="24"/>
        </w:rPr>
        <w:t xml:space="preserve"> 2002). Důvodů k novelizaci vyhlášky bylo několik. V první řadě již byla koncepce jednostupňových limitů v půdě překonaná, neboť členit půdu na dvě kategorie – vyhovující a nevyhovující na základě jedné hodnoty je z odborného pohledu nesprávné (z právního hlediska však zcela jednoznačné). V případě rizikových prvků byly jejich maximálně přípustné obsahy alespoň odvozeny od skutečné zátěže našich zemědělských půd (Podlešáková et al.</w:t>
      </w:r>
      <w:r w:rsidR="001B0501">
        <w:rPr>
          <w:rFonts w:ascii="Times New Roman" w:hAnsi="Times New Roman" w:cs="Times New Roman"/>
          <w:sz w:val="24"/>
          <w:szCs w:val="24"/>
        </w:rPr>
        <w:t>,</w:t>
      </w:r>
      <w:r w:rsidRPr="00AF78CA">
        <w:rPr>
          <w:rFonts w:ascii="Times New Roman" w:hAnsi="Times New Roman" w:cs="Times New Roman"/>
          <w:sz w:val="24"/>
          <w:szCs w:val="24"/>
        </w:rPr>
        <w:t xml:space="preserve"> 1994), v případě POP, kde reálné hodnoty v našich zemědělských půdách byly vyhodnoceny až později (Němeček et al.</w:t>
      </w:r>
      <w:r w:rsidR="001B0501">
        <w:rPr>
          <w:rFonts w:ascii="Times New Roman" w:hAnsi="Times New Roman" w:cs="Times New Roman"/>
          <w:sz w:val="24"/>
          <w:szCs w:val="24"/>
        </w:rPr>
        <w:t>,</w:t>
      </w:r>
      <w:r w:rsidRPr="00AF78CA">
        <w:rPr>
          <w:rFonts w:ascii="Times New Roman" w:hAnsi="Times New Roman" w:cs="Times New Roman"/>
          <w:sz w:val="24"/>
          <w:szCs w:val="24"/>
        </w:rPr>
        <w:t xml:space="preserve"> 1996), byly využity hodnoty zahraniční (Nizozemí), které našim půdám příliš neodpovídaly. V případech některých sloučenin (zejména jednotlivé typy PAU) byly jejich limitní hodnoty ve vyhlášce nižší, než skutečné </w:t>
      </w:r>
      <w:proofErr w:type="spellStart"/>
      <w:r w:rsidRPr="00AF78CA">
        <w:rPr>
          <w:rFonts w:ascii="Times New Roman" w:hAnsi="Times New Roman" w:cs="Times New Roman"/>
          <w:sz w:val="24"/>
          <w:szCs w:val="24"/>
        </w:rPr>
        <w:t>pozaďové</w:t>
      </w:r>
      <w:proofErr w:type="spellEnd"/>
      <w:r w:rsidRPr="00AF78CA">
        <w:rPr>
          <w:rFonts w:ascii="Times New Roman" w:hAnsi="Times New Roman" w:cs="Times New Roman"/>
          <w:sz w:val="24"/>
          <w:szCs w:val="24"/>
        </w:rPr>
        <w:t xml:space="preserve"> hodnoty v našich zemědělských půdách. To vedlo k případům účelového zneužívání vyhlášky při procesu vynětí půdy ze zemědělského půdního fondu (ZPF), kdy půda byla označena za „kontaminovanou“ a byly vznášeny nároky na finanční úlevu z poplatků za její vynětí ze ZPF. Nově navržená verze vyhlášky vycházela ze stále více se prosazující filozofie vícestupňových limitních hodnot, nejčastěji udávaných jako A, B a C, kde zpravidla limit A je úroveň </w:t>
      </w:r>
      <w:proofErr w:type="spellStart"/>
      <w:r w:rsidRPr="00AF78CA">
        <w:rPr>
          <w:rFonts w:ascii="Times New Roman" w:hAnsi="Times New Roman" w:cs="Times New Roman"/>
          <w:sz w:val="24"/>
          <w:szCs w:val="24"/>
        </w:rPr>
        <w:t>pozaďových</w:t>
      </w:r>
      <w:proofErr w:type="spellEnd"/>
      <w:r w:rsidRPr="00AF78CA">
        <w:rPr>
          <w:rFonts w:ascii="Times New Roman" w:hAnsi="Times New Roman" w:cs="Times New Roman"/>
          <w:sz w:val="24"/>
          <w:szCs w:val="24"/>
        </w:rPr>
        <w:t xml:space="preserve"> hodnot, limit B je úroveň definovaného rizika (např. přestup kontaminantů do rostlin) a limit C je úroveň </w:t>
      </w:r>
      <w:proofErr w:type="spellStart"/>
      <w:r w:rsidRPr="00AF78CA">
        <w:rPr>
          <w:rFonts w:ascii="Times New Roman" w:hAnsi="Times New Roman" w:cs="Times New Roman"/>
          <w:sz w:val="24"/>
          <w:szCs w:val="24"/>
        </w:rPr>
        <w:t>remediačního</w:t>
      </w:r>
      <w:proofErr w:type="spellEnd"/>
      <w:r w:rsidRPr="00AF78CA">
        <w:rPr>
          <w:rFonts w:ascii="Times New Roman" w:hAnsi="Times New Roman" w:cs="Times New Roman"/>
          <w:sz w:val="24"/>
          <w:szCs w:val="24"/>
        </w:rPr>
        <w:t xml:space="preserve"> (asanačního) limitu. Uvedený návrh novelizace vyhlášky zahrnoval první dva stupně, pojmenované jako preventivní limit a indikační limit. Preventivní limit byl odvozen od </w:t>
      </w:r>
      <w:proofErr w:type="spellStart"/>
      <w:r w:rsidRPr="00AF78CA">
        <w:rPr>
          <w:rFonts w:ascii="Times New Roman" w:hAnsi="Times New Roman" w:cs="Times New Roman"/>
          <w:sz w:val="24"/>
          <w:szCs w:val="24"/>
        </w:rPr>
        <w:t>pozaďových</w:t>
      </w:r>
      <w:proofErr w:type="spellEnd"/>
      <w:r w:rsidRPr="00AF78CA">
        <w:rPr>
          <w:rFonts w:ascii="Times New Roman" w:hAnsi="Times New Roman" w:cs="Times New Roman"/>
          <w:sz w:val="24"/>
          <w:szCs w:val="24"/>
        </w:rPr>
        <w:t xml:space="preserve"> hodnot rizikových prvků a POP v našich zemědělských půdách, indikační limit pak zohledňoval přestup rizikových prvků z půdy do zemědělských plodin, dodatečně pak byly zařazeny indikační limity pro přímé ohrožení lidského zdraví kontaminovanou půdou. Kompletní návrh novelizace vyhlášky, popsaný podrobně v práci Váchy et al.</w:t>
      </w:r>
      <w:r w:rsidR="001B0501">
        <w:rPr>
          <w:rFonts w:ascii="Times New Roman" w:hAnsi="Times New Roman" w:cs="Times New Roman"/>
          <w:sz w:val="24"/>
          <w:szCs w:val="24"/>
        </w:rPr>
        <w:t>,</w:t>
      </w:r>
      <w:r w:rsidRPr="00AF78CA">
        <w:rPr>
          <w:rFonts w:ascii="Times New Roman" w:hAnsi="Times New Roman" w:cs="Times New Roman"/>
          <w:sz w:val="24"/>
          <w:szCs w:val="24"/>
        </w:rPr>
        <w:t xml:space="preserve"> (2014) byl přijat do legislativního procesu a využit ve vyhlášce Ministerstva životního prostředí č. 153/2016 Sb.</w:t>
      </w:r>
    </w:p>
    <w:p w:rsidR="001D121B" w:rsidRPr="00AF78CA" w:rsidRDefault="001D121B" w:rsidP="001D121B">
      <w:pPr>
        <w:spacing w:after="120" w:line="240" w:lineRule="auto"/>
        <w:rPr>
          <w:rFonts w:ascii="Times New Roman" w:hAnsi="Times New Roman" w:cs="Times New Roman"/>
          <w:sz w:val="24"/>
          <w:szCs w:val="24"/>
        </w:rPr>
      </w:pPr>
      <w:r w:rsidRPr="00AF78CA">
        <w:rPr>
          <w:rFonts w:ascii="Times New Roman" w:hAnsi="Times New Roman" w:cs="Times New Roman"/>
          <w:sz w:val="24"/>
          <w:szCs w:val="24"/>
        </w:rPr>
        <w:t xml:space="preserve">Preventivní hodnoty prezentují tzv. </w:t>
      </w:r>
      <w:proofErr w:type="spellStart"/>
      <w:r w:rsidRPr="00AF78CA">
        <w:rPr>
          <w:rFonts w:ascii="Times New Roman" w:hAnsi="Times New Roman" w:cs="Times New Roman"/>
          <w:sz w:val="24"/>
          <w:szCs w:val="24"/>
        </w:rPr>
        <w:t>pozaďové</w:t>
      </w:r>
      <w:proofErr w:type="spellEnd"/>
      <w:r w:rsidRPr="00AF78CA">
        <w:rPr>
          <w:rFonts w:ascii="Times New Roman" w:hAnsi="Times New Roman" w:cs="Times New Roman"/>
          <w:sz w:val="24"/>
          <w:szCs w:val="24"/>
        </w:rPr>
        <w:t xml:space="preserve"> hodnoty rizikových prvků a POP v našich zemědělských půdách. Ty byly odvozeny statisticky a v případě rizikových prvků jsou dány jejich přirozenými obsahy v půdotvorných substrátech a připočtenou průměrnou rozptýlenou antropogenní zátěží (mokrou a suchou depozicí). V případě POP jsou dány de-facto pouze její průměrnou rozptýlenou antropogenní zátěží. Tento přístup je praktikován i v některých dalších státech EU, které </w:t>
      </w:r>
      <w:proofErr w:type="spellStart"/>
      <w:r w:rsidRPr="00AF78CA">
        <w:rPr>
          <w:rFonts w:ascii="Times New Roman" w:hAnsi="Times New Roman" w:cs="Times New Roman"/>
          <w:sz w:val="24"/>
          <w:szCs w:val="24"/>
        </w:rPr>
        <w:t>pozaďové</w:t>
      </w:r>
      <w:proofErr w:type="spellEnd"/>
      <w:r w:rsidRPr="00AF78CA">
        <w:rPr>
          <w:rFonts w:ascii="Times New Roman" w:hAnsi="Times New Roman" w:cs="Times New Roman"/>
          <w:sz w:val="24"/>
          <w:szCs w:val="24"/>
        </w:rPr>
        <w:t xml:space="preserve"> hodnoty odvozují v případě rizikových prvků nejenom od jejich přirozených obsahů, ale také průměrné antropogenní zátěže (SRN, Velká Británie, Francie). Princip stanovení tohoto typu </w:t>
      </w:r>
      <w:proofErr w:type="spellStart"/>
      <w:r w:rsidRPr="00AF78CA">
        <w:rPr>
          <w:rFonts w:ascii="Times New Roman" w:hAnsi="Times New Roman" w:cs="Times New Roman"/>
          <w:sz w:val="24"/>
          <w:szCs w:val="24"/>
        </w:rPr>
        <w:t>pozaďových</w:t>
      </w:r>
      <w:proofErr w:type="spellEnd"/>
      <w:r w:rsidRPr="00AF78CA">
        <w:rPr>
          <w:rFonts w:ascii="Times New Roman" w:hAnsi="Times New Roman" w:cs="Times New Roman"/>
          <w:sz w:val="24"/>
          <w:szCs w:val="24"/>
        </w:rPr>
        <w:t xml:space="preserve"> hodnot uvádí </w:t>
      </w:r>
      <w:proofErr w:type="spellStart"/>
      <w:r w:rsidRPr="00AF78CA">
        <w:rPr>
          <w:rFonts w:ascii="Times New Roman" w:hAnsi="Times New Roman" w:cs="Times New Roman"/>
          <w:sz w:val="24"/>
          <w:szCs w:val="24"/>
        </w:rPr>
        <w:t>Hellmann</w:t>
      </w:r>
      <w:proofErr w:type="spellEnd"/>
      <w:r w:rsidR="001B0501">
        <w:rPr>
          <w:rFonts w:ascii="Times New Roman" w:hAnsi="Times New Roman" w:cs="Times New Roman"/>
          <w:sz w:val="24"/>
          <w:szCs w:val="24"/>
        </w:rPr>
        <w:t>,</w:t>
      </w:r>
      <w:r w:rsidRPr="00AF78CA">
        <w:rPr>
          <w:rFonts w:ascii="Times New Roman" w:hAnsi="Times New Roman" w:cs="Times New Roman"/>
          <w:sz w:val="24"/>
          <w:szCs w:val="24"/>
        </w:rPr>
        <w:t xml:space="preserve"> (2002).  Některé země (Belgie, Nizozemí, Lucembursko) nepočítají s antropogenní zátěží a hodnoty pozadí odvozují pouze od přirozených obsahů rizikových prvků v půdotvorných substrátech. To má ovšem nevýhodu v tom, že prakticky všechny půdy jsou do jisté míry ovlivněny antropogenní zátěží z emisí a budou tak překračovat hodnoty pozadí. Zde záleží na způsobu využití </w:t>
      </w:r>
      <w:proofErr w:type="spellStart"/>
      <w:r w:rsidRPr="00AF78CA">
        <w:rPr>
          <w:rFonts w:ascii="Times New Roman" w:hAnsi="Times New Roman" w:cs="Times New Roman"/>
          <w:sz w:val="24"/>
          <w:szCs w:val="24"/>
        </w:rPr>
        <w:t>pozaďových</w:t>
      </w:r>
      <w:proofErr w:type="spellEnd"/>
      <w:r w:rsidRPr="00AF78CA">
        <w:rPr>
          <w:rFonts w:ascii="Times New Roman" w:hAnsi="Times New Roman" w:cs="Times New Roman"/>
          <w:sz w:val="24"/>
          <w:szCs w:val="24"/>
        </w:rPr>
        <w:t xml:space="preserve"> hodnot, pokud jsou využity pro stanovení hodnot limitních, bude docházet v tomto případě k velmi častému překračování limitů s určitými potenciálními dopady na využívání půdy a především negativním ohlasem veřejnosti.</w:t>
      </w:r>
    </w:p>
    <w:p w:rsidR="001D121B" w:rsidRPr="00AF78CA" w:rsidRDefault="001D121B" w:rsidP="001D121B">
      <w:pPr>
        <w:tabs>
          <w:tab w:val="right" w:pos="9070"/>
        </w:tabs>
        <w:spacing w:after="0" w:line="240" w:lineRule="auto"/>
        <w:rPr>
          <w:rFonts w:ascii="Times New Roman" w:hAnsi="Times New Roman" w:cs="Times New Roman"/>
          <w:sz w:val="24"/>
          <w:szCs w:val="24"/>
        </w:rPr>
      </w:pPr>
      <w:r w:rsidRPr="00AF78CA">
        <w:rPr>
          <w:rFonts w:ascii="Times New Roman" w:hAnsi="Times New Roman" w:cs="Times New Roman"/>
          <w:sz w:val="24"/>
          <w:szCs w:val="24"/>
        </w:rPr>
        <w:t>Preventivní hodnoty rizikových prvků dle vyhlášky MŽP č. 153/2016 Sb.</w:t>
      </w:r>
      <w:r>
        <w:rPr>
          <w:rFonts w:ascii="Times New Roman" w:hAnsi="Times New Roman" w:cs="Times New Roman"/>
          <w:sz w:val="24"/>
          <w:szCs w:val="24"/>
        </w:rPr>
        <w:tab/>
      </w:r>
    </w:p>
    <w:tbl>
      <w:tblPr>
        <w:tblW w:w="8640" w:type="dxa"/>
        <w:tblInd w:w="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2722"/>
        <w:gridCol w:w="495"/>
        <w:gridCol w:w="495"/>
        <w:gridCol w:w="569"/>
        <w:gridCol w:w="421"/>
        <w:gridCol w:w="495"/>
        <w:gridCol w:w="495"/>
        <w:gridCol w:w="495"/>
        <w:gridCol w:w="76"/>
        <w:gridCol w:w="534"/>
        <w:gridCol w:w="567"/>
        <w:gridCol w:w="567"/>
        <w:gridCol w:w="567"/>
        <w:gridCol w:w="142"/>
      </w:tblGrid>
      <w:tr w:rsidR="001D121B" w:rsidRPr="00AF78CA" w:rsidTr="00451EBA">
        <w:trPr>
          <w:cantSplit/>
          <w:trHeight w:val="543"/>
        </w:trPr>
        <w:tc>
          <w:tcPr>
            <w:tcW w:w="2722" w:type="dxa"/>
            <w:shd w:val="clear" w:color="auto" w:fill="auto"/>
            <w:vAlign w:val="center"/>
          </w:tcPr>
          <w:p w:rsidR="001D121B" w:rsidRPr="008E726C" w:rsidRDefault="001D121B" w:rsidP="001D121B">
            <w:pPr>
              <w:spacing w:line="240" w:lineRule="auto"/>
              <w:jc w:val="center"/>
              <w:rPr>
                <w:rFonts w:ascii="Times New Roman" w:hAnsi="Times New Roman" w:cs="Times New Roman"/>
                <w:b/>
                <w:sz w:val="24"/>
                <w:szCs w:val="24"/>
              </w:rPr>
            </w:pPr>
          </w:p>
        </w:tc>
        <w:tc>
          <w:tcPr>
            <w:tcW w:w="5918" w:type="dxa"/>
            <w:gridSpan w:val="13"/>
            <w:shd w:val="clear" w:color="auto" w:fill="auto"/>
            <w:vAlign w:val="center"/>
          </w:tcPr>
          <w:p w:rsidR="001D121B" w:rsidRPr="00AF78CA" w:rsidRDefault="001D121B" w:rsidP="001D121B">
            <w:pPr>
              <w:spacing w:line="240" w:lineRule="auto"/>
              <w:jc w:val="center"/>
              <w:rPr>
                <w:rFonts w:ascii="Times New Roman" w:hAnsi="Times New Roman" w:cs="Times New Roman"/>
                <w:sz w:val="24"/>
                <w:szCs w:val="24"/>
                <w:lang w:val="en-US"/>
              </w:rPr>
            </w:pPr>
            <w:proofErr w:type="spellStart"/>
            <w:r w:rsidRPr="00AF78CA">
              <w:rPr>
                <w:rFonts w:ascii="Times New Roman" w:hAnsi="Times New Roman" w:cs="Times New Roman"/>
                <w:sz w:val="24"/>
                <w:szCs w:val="24"/>
                <w:lang w:val="en-US"/>
              </w:rPr>
              <w:t>Preventivní</w:t>
            </w:r>
            <w:proofErr w:type="spellEnd"/>
            <w:r w:rsidRPr="00AF78CA">
              <w:rPr>
                <w:rFonts w:ascii="Times New Roman" w:hAnsi="Times New Roman" w:cs="Times New Roman"/>
                <w:sz w:val="24"/>
                <w:szCs w:val="24"/>
                <w:lang w:val="en-US"/>
              </w:rPr>
              <w:t xml:space="preserve"> </w:t>
            </w:r>
            <w:proofErr w:type="spellStart"/>
            <w:r w:rsidRPr="00AF78CA">
              <w:rPr>
                <w:rFonts w:ascii="Times New Roman" w:hAnsi="Times New Roman" w:cs="Times New Roman"/>
                <w:sz w:val="24"/>
                <w:szCs w:val="24"/>
                <w:lang w:val="en-US"/>
              </w:rPr>
              <w:t>hodnota</w:t>
            </w:r>
            <w:proofErr w:type="spellEnd"/>
            <w:r w:rsidRPr="00AF78CA">
              <w:rPr>
                <w:rFonts w:ascii="Times New Roman" w:hAnsi="Times New Roman" w:cs="Times New Roman"/>
                <w:sz w:val="24"/>
                <w:szCs w:val="24"/>
                <w:lang w:val="en-US"/>
              </w:rPr>
              <w:t xml:space="preserve"> (mg/kg </w:t>
            </w:r>
            <w:proofErr w:type="spellStart"/>
            <w:r w:rsidRPr="00AF78CA">
              <w:rPr>
                <w:rFonts w:ascii="Times New Roman" w:hAnsi="Times New Roman" w:cs="Times New Roman"/>
                <w:sz w:val="24"/>
                <w:szCs w:val="24"/>
                <w:lang w:val="en-US"/>
              </w:rPr>
              <w:t>sušiny</w:t>
            </w:r>
            <w:proofErr w:type="spellEnd"/>
            <w:r w:rsidRPr="00AF78CA">
              <w:rPr>
                <w:rFonts w:ascii="Times New Roman" w:hAnsi="Times New Roman" w:cs="Times New Roman"/>
                <w:sz w:val="24"/>
                <w:szCs w:val="24"/>
                <w:lang w:val="en-US"/>
              </w:rPr>
              <w:t>)</w:t>
            </w:r>
          </w:p>
        </w:tc>
      </w:tr>
      <w:tr w:rsidR="001D121B" w:rsidRPr="00AF78CA" w:rsidTr="00451EBA">
        <w:trPr>
          <w:cantSplit/>
          <w:trHeight w:val="543"/>
        </w:trPr>
        <w:tc>
          <w:tcPr>
            <w:tcW w:w="2722" w:type="dxa"/>
            <w:tcBorders>
              <w:bottom w:val="single" w:sz="4" w:space="0" w:color="auto"/>
            </w:tcBorders>
            <w:shd w:val="clear" w:color="auto" w:fill="auto"/>
            <w:vAlign w:val="center"/>
          </w:tcPr>
          <w:p w:rsidR="001D121B" w:rsidRPr="00AF78CA" w:rsidRDefault="001D121B" w:rsidP="001D121B">
            <w:pPr>
              <w:spacing w:line="240" w:lineRule="auto"/>
              <w:rPr>
                <w:rFonts w:ascii="Times New Roman" w:hAnsi="Times New Roman" w:cs="Times New Roman"/>
                <w:sz w:val="24"/>
                <w:szCs w:val="24"/>
              </w:rPr>
            </w:pPr>
            <w:r w:rsidRPr="00AF78CA">
              <w:rPr>
                <w:rFonts w:ascii="Times New Roman" w:hAnsi="Times New Roman" w:cs="Times New Roman"/>
                <w:sz w:val="24"/>
                <w:szCs w:val="24"/>
                <w:lang w:val="en-US"/>
              </w:rPr>
              <w:t xml:space="preserve"> </w:t>
            </w:r>
            <w:r w:rsidRPr="00AF78CA">
              <w:rPr>
                <w:rFonts w:ascii="Times New Roman" w:hAnsi="Times New Roman" w:cs="Times New Roman"/>
                <w:sz w:val="24"/>
                <w:szCs w:val="24"/>
              </w:rPr>
              <w:t>Kategorie půd</w:t>
            </w:r>
          </w:p>
        </w:tc>
        <w:tc>
          <w:tcPr>
            <w:tcW w:w="495" w:type="dxa"/>
            <w:tcBorders>
              <w:bottom w:val="single" w:sz="4" w:space="0" w:color="auto"/>
            </w:tcBorders>
            <w:shd w:val="clear" w:color="auto" w:fill="auto"/>
            <w:vAlign w:val="center"/>
          </w:tcPr>
          <w:p w:rsidR="001D121B" w:rsidRPr="00AF78CA" w:rsidRDefault="001D121B" w:rsidP="001D121B">
            <w:pPr>
              <w:spacing w:line="240" w:lineRule="auto"/>
              <w:jc w:val="center"/>
              <w:rPr>
                <w:rFonts w:ascii="Times New Roman" w:hAnsi="Times New Roman" w:cs="Times New Roman"/>
                <w:sz w:val="24"/>
                <w:szCs w:val="24"/>
              </w:rPr>
            </w:pPr>
            <w:r w:rsidRPr="00AF78CA">
              <w:rPr>
                <w:rFonts w:ascii="Times New Roman" w:hAnsi="Times New Roman" w:cs="Times New Roman"/>
                <w:sz w:val="24"/>
                <w:szCs w:val="24"/>
              </w:rPr>
              <w:t>As</w:t>
            </w:r>
          </w:p>
        </w:tc>
        <w:tc>
          <w:tcPr>
            <w:tcW w:w="495" w:type="dxa"/>
            <w:tcBorders>
              <w:bottom w:val="single" w:sz="4" w:space="0" w:color="auto"/>
            </w:tcBorders>
            <w:shd w:val="clear" w:color="auto" w:fill="auto"/>
            <w:vAlign w:val="center"/>
          </w:tcPr>
          <w:p w:rsidR="001D121B" w:rsidRPr="00AF78CA" w:rsidRDefault="001D121B" w:rsidP="001D121B">
            <w:pPr>
              <w:spacing w:line="240" w:lineRule="auto"/>
              <w:jc w:val="center"/>
              <w:rPr>
                <w:rFonts w:ascii="Times New Roman" w:hAnsi="Times New Roman" w:cs="Times New Roman"/>
                <w:sz w:val="24"/>
                <w:szCs w:val="24"/>
              </w:rPr>
            </w:pPr>
            <w:proofErr w:type="spellStart"/>
            <w:r w:rsidRPr="00AF78CA">
              <w:rPr>
                <w:rFonts w:ascii="Times New Roman" w:hAnsi="Times New Roman" w:cs="Times New Roman"/>
                <w:sz w:val="24"/>
                <w:szCs w:val="24"/>
              </w:rPr>
              <w:t>Be</w:t>
            </w:r>
            <w:proofErr w:type="spellEnd"/>
          </w:p>
        </w:tc>
        <w:tc>
          <w:tcPr>
            <w:tcW w:w="569" w:type="dxa"/>
            <w:tcBorders>
              <w:bottom w:val="single" w:sz="4" w:space="0" w:color="auto"/>
            </w:tcBorders>
            <w:shd w:val="clear" w:color="auto" w:fill="auto"/>
            <w:vAlign w:val="center"/>
          </w:tcPr>
          <w:p w:rsidR="001D121B" w:rsidRPr="00AF78CA" w:rsidRDefault="001D121B" w:rsidP="001D121B">
            <w:pPr>
              <w:spacing w:line="240" w:lineRule="auto"/>
              <w:jc w:val="center"/>
              <w:rPr>
                <w:rFonts w:ascii="Times New Roman" w:hAnsi="Times New Roman" w:cs="Times New Roman"/>
                <w:sz w:val="24"/>
                <w:szCs w:val="24"/>
              </w:rPr>
            </w:pPr>
            <w:r w:rsidRPr="00AF78CA">
              <w:rPr>
                <w:rFonts w:ascii="Times New Roman" w:hAnsi="Times New Roman" w:cs="Times New Roman"/>
                <w:sz w:val="24"/>
                <w:szCs w:val="24"/>
              </w:rPr>
              <w:t>Cd</w:t>
            </w:r>
          </w:p>
        </w:tc>
        <w:tc>
          <w:tcPr>
            <w:tcW w:w="421" w:type="dxa"/>
            <w:tcBorders>
              <w:bottom w:val="single" w:sz="4" w:space="0" w:color="auto"/>
            </w:tcBorders>
            <w:shd w:val="clear" w:color="auto" w:fill="auto"/>
            <w:vAlign w:val="center"/>
          </w:tcPr>
          <w:p w:rsidR="001D121B" w:rsidRPr="00AF78CA" w:rsidRDefault="001D121B" w:rsidP="001D121B">
            <w:pPr>
              <w:spacing w:line="240" w:lineRule="auto"/>
              <w:jc w:val="center"/>
              <w:rPr>
                <w:rFonts w:ascii="Times New Roman" w:hAnsi="Times New Roman" w:cs="Times New Roman"/>
                <w:sz w:val="24"/>
                <w:szCs w:val="24"/>
              </w:rPr>
            </w:pPr>
            <w:r w:rsidRPr="00AF78CA">
              <w:rPr>
                <w:rFonts w:ascii="Times New Roman" w:hAnsi="Times New Roman" w:cs="Times New Roman"/>
                <w:sz w:val="24"/>
                <w:szCs w:val="24"/>
              </w:rPr>
              <w:t>Co</w:t>
            </w:r>
          </w:p>
        </w:tc>
        <w:tc>
          <w:tcPr>
            <w:tcW w:w="495" w:type="dxa"/>
            <w:tcBorders>
              <w:bottom w:val="single" w:sz="4" w:space="0" w:color="auto"/>
            </w:tcBorders>
            <w:shd w:val="clear" w:color="auto" w:fill="auto"/>
            <w:vAlign w:val="center"/>
          </w:tcPr>
          <w:p w:rsidR="001D121B" w:rsidRPr="00AF78CA" w:rsidRDefault="001D121B" w:rsidP="001D121B">
            <w:pPr>
              <w:spacing w:line="240" w:lineRule="auto"/>
              <w:jc w:val="center"/>
              <w:rPr>
                <w:rFonts w:ascii="Times New Roman" w:hAnsi="Times New Roman" w:cs="Times New Roman"/>
                <w:sz w:val="24"/>
                <w:szCs w:val="24"/>
              </w:rPr>
            </w:pPr>
            <w:proofErr w:type="spellStart"/>
            <w:r w:rsidRPr="00AF78CA">
              <w:rPr>
                <w:rFonts w:ascii="Times New Roman" w:hAnsi="Times New Roman" w:cs="Times New Roman"/>
                <w:sz w:val="24"/>
                <w:szCs w:val="24"/>
              </w:rPr>
              <w:t>Cr</w:t>
            </w:r>
            <w:proofErr w:type="spellEnd"/>
          </w:p>
        </w:tc>
        <w:tc>
          <w:tcPr>
            <w:tcW w:w="495" w:type="dxa"/>
            <w:tcBorders>
              <w:bottom w:val="single" w:sz="4" w:space="0" w:color="auto"/>
            </w:tcBorders>
            <w:shd w:val="clear" w:color="auto" w:fill="auto"/>
            <w:vAlign w:val="center"/>
          </w:tcPr>
          <w:p w:rsidR="001D121B" w:rsidRPr="00AF78CA" w:rsidRDefault="001D121B" w:rsidP="001D121B">
            <w:pPr>
              <w:spacing w:line="240" w:lineRule="auto"/>
              <w:jc w:val="center"/>
              <w:rPr>
                <w:rFonts w:ascii="Times New Roman" w:hAnsi="Times New Roman" w:cs="Times New Roman"/>
                <w:sz w:val="24"/>
                <w:szCs w:val="24"/>
              </w:rPr>
            </w:pPr>
            <w:proofErr w:type="spellStart"/>
            <w:r w:rsidRPr="00AF78CA">
              <w:rPr>
                <w:rFonts w:ascii="Times New Roman" w:hAnsi="Times New Roman" w:cs="Times New Roman"/>
                <w:sz w:val="24"/>
                <w:szCs w:val="24"/>
              </w:rPr>
              <w:t>Cu</w:t>
            </w:r>
            <w:proofErr w:type="spellEnd"/>
          </w:p>
        </w:tc>
        <w:tc>
          <w:tcPr>
            <w:tcW w:w="495" w:type="dxa"/>
            <w:tcBorders>
              <w:bottom w:val="single" w:sz="4" w:space="0" w:color="auto"/>
            </w:tcBorders>
            <w:shd w:val="clear" w:color="auto" w:fill="auto"/>
            <w:vAlign w:val="center"/>
          </w:tcPr>
          <w:p w:rsidR="001D121B" w:rsidRPr="00AF78CA" w:rsidRDefault="001D121B" w:rsidP="001D121B">
            <w:pPr>
              <w:spacing w:line="240" w:lineRule="auto"/>
              <w:jc w:val="center"/>
              <w:rPr>
                <w:rFonts w:ascii="Times New Roman" w:hAnsi="Times New Roman" w:cs="Times New Roman"/>
                <w:sz w:val="24"/>
                <w:szCs w:val="24"/>
              </w:rPr>
            </w:pPr>
            <w:proofErr w:type="spellStart"/>
            <w:r w:rsidRPr="00AF78CA">
              <w:rPr>
                <w:rFonts w:ascii="Times New Roman" w:hAnsi="Times New Roman" w:cs="Times New Roman"/>
                <w:sz w:val="24"/>
                <w:szCs w:val="24"/>
              </w:rPr>
              <w:t>Hg</w:t>
            </w:r>
            <w:proofErr w:type="spellEnd"/>
          </w:p>
        </w:tc>
        <w:tc>
          <w:tcPr>
            <w:tcW w:w="76" w:type="dxa"/>
            <w:tcBorders>
              <w:bottom w:val="single" w:sz="4" w:space="0" w:color="auto"/>
            </w:tcBorders>
            <w:shd w:val="clear" w:color="auto" w:fill="auto"/>
            <w:vAlign w:val="center"/>
          </w:tcPr>
          <w:p w:rsidR="001D121B" w:rsidRPr="00AF78CA" w:rsidRDefault="001D121B" w:rsidP="001D121B">
            <w:pPr>
              <w:spacing w:line="240" w:lineRule="auto"/>
              <w:jc w:val="center"/>
              <w:rPr>
                <w:rFonts w:ascii="Times New Roman" w:hAnsi="Times New Roman" w:cs="Times New Roman"/>
                <w:sz w:val="24"/>
                <w:szCs w:val="24"/>
                <w:lang w:val="de-DE"/>
              </w:rPr>
            </w:pPr>
          </w:p>
        </w:tc>
        <w:tc>
          <w:tcPr>
            <w:tcW w:w="534" w:type="dxa"/>
            <w:tcBorders>
              <w:bottom w:val="single" w:sz="4" w:space="0" w:color="auto"/>
            </w:tcBorders>
            <w:shd w:val="clear" w:color="auto" w:fill="auto"/>
            <w:vAlign w:val="center"/>
          </w:tcPr>
          <w:p w:rsidR="001D121B" w:rsidRPr="00AF78CA" w:rsidRDefault="001D121B" w:rsidP="001D121B">
            <w:pPr>
              <w:spacing w:line="240" w:lineRule="auto"/>
              <w:jc w:val="center"/>
              <w:rPr>
                <w:rFonts w:ascii="Times New Roman" w:hAnsi="Times New Roman" w:cs="Times New Roman"/>
                <w:sz w:val="24"/>
                <w:szCs w:val="24"/>
                <w:lang w:val="de-DE"/>
              </w:rPr>
            </w:pPr>
            <w:proofErr w:type="spellStart"/>
            <w:r w:rsidRPr="00AF78CA">
              <w:rPr>
                <w:rFonts w:ascii="Times New Roman" w:hAnsi="Times New Roman" w:cs="Times New Roman"/>
                <w:sz w:val="24"/>
                <w:szCs w:val="24"/>
                <w:lang w:val="de-DE"/>
              </w:rPr>
              <w:t>Ni</w:t>
            </w:r>
            <w:proofErr w:type="spellEnd"/>
          </w:p>
        </w:tc>
        <w:tc>
          <w:tcPr>
            <w:tcW w:w="567" w:type="dxa"/>
            <w:tcBorders>
              <w:bottom w:val="single" w:sz="4" w:space="0" w:color="auto"/>
            </w:tcBorders>
            <w:shd w:val="clear" w:color="auto" w:fill="auto"/>
            <w:vAlign w:val="center"/>
          </w:tcPr>
          <w:p w:rsidR="001D121B" w:rsidRPr="00AF78CA" w:rsidRDefault="001D121B" w:rsidP="001D121B">
            <w:pPr>
              <w:spacing w:line="240" w:lineRule="auto"/>
              <w:jc w:val="center"/>
              <w:rPr>
                <w:rFonts w:ascii="Times New Roman" w:hAnsi="Times New Roman" w:cs="Times New Roman"/>
                <w:sz w:val="24"/>
                <w:szCs w:val="24"/>
                <w:lang w:val="de-DE"/>
              </w:rPr>
            </w:pPr>
            <w:proofErr w:type="spellStart"/>
            <w:r w:rsidRPr="00AF78CA">
              <w:rPr>
                <w:rFonts w:ascii="Times New Roman" w:hAnsi="Times New Roman" w:cs="Times New Roman"/>
                <w:sz w:val="24"/>
                <w:szCs w:val="24"/>
                <w:lang w:val="de-DE"/>
              </w:rPr>
              <w:t>Pb</w:t>
            </w:r>
            <w:proofErr w:type="spellEnd"/>
          </w:p>
        </w:tc>
        <w:tc>
          <w:tcPr>
            <w:tcW w:w="567" w:type="dxa"/>
            <w:tcBorders>
              <w:bottom w:val="single" w:sz="4" w:space="0" w:color="auto"/>
            </w:tcBorders>
            <w:shd w:val="clear" w:color="auto" w:fill="auto"/>
            <w:vAlign w:val="center"/>
          </w:tcPr>
          <w:p w:rsidR="001D121B" w:rsidRPr="00AF78CA" w:rsidRDefault="001D121B" w:rsidP="001D121B">
            <w:pPr>
              <w:spacing w:line="240" w:lineRule="auto"/>
              <w:jc w:val="center"/>
              <w:rPr>
                <w:rFonts w:ascii="Times New Roman" w:hAnsi="Times New Roman" w:cs="Times New Roman"/>
                <w:sz w:val="24"/>
                <w:szCs w:val="24"/>
                <w:lang w:val="de-DE"/>
              </w:rPr>
            </w:pPr>
            <w:r w:rsidRPr="00AF78CA">
              <w:rPr>
                <w:rFonts w:ascii="Times New Roman" w:hAnsi="Times New Roman" w:cs="Times New Roman"/>
                <w:sz w:val="24"/>
                <w:szCs w:val="24"/>
                <w:lang w:val="de-DE"/>
              </w:rPr>
              <w:t>V</w:t>
            </w:r>
          </w:p>
        </w:tc>
        <w:tc>
          <w:tcPr>
            <w:tcW w:w="567" w:type="dxa"/>
            <w:tcBorders>
              <w:bottom w:val="single" w:sz="4" w:space="0" w:color="auto"/>
            </w:tcBorders>
            <w:shd w:val="clear" w:color="auto" w:fill="auto"/>
            <w:vAlign w:val="center"/>
          </w:tcPr>
          <w:p w:rsidR="001D121B" w:rsidRPr="00AF78CA" w:rsidRDefault="001D121B" w:rsidP="001D121B">
            <w:pPr>
              <w:spacing w:line="240" w:lineRule="auto"/>
              <w:jc w:val="center"/>
              <w:rPr>
                <w:rFonts w:ascii="Times New Roman" w:hAnsi="Times New Roman" w:cs="Times New Roman"/>
                <w:sz w:val="24"/>
                <w:szCs w:val="24"/>
                <w:lang w:val="de-DE"/>
              </w:rPr>
            </w:pPr>
            <w:proofErr w:type="spellStart"/>
            <w:r w:rsidRPr="00AF78CA">
              <w:rPr>
                <w:rFonts w:ascii="Times New Roman" w:hAnsi="Times New Roman" w:cs="Times New Roman"/>
                <w:sz w:val="24"/>
                <w:szCs w:val="24"/>
                <w:lang w:val="de-DE"/>
              </w:rPr>
              <w:t>Zn</w:t>
            </w:r>
            <w:proofErr w:type="spellEnd"/>
          </w:p>
        </w:tc>
        <w:tc>
          <w:tcPr>
            <w:tcW w:w="142" w:type="dxa"/>
            <w:tcBorders>
              <w:bottom w:val="single" w:sz="4" w:space="0" w:color="auto"/>
            </w:tcBorders>
            <w:shd w:val="clear" w:color="auto" w:fill="auto"/>
            <w:vAlign w:val="center"/>
          </w:tcPr>
          <w:p w:rsidR="001D121B" w:rsidRPr="00AF78CA" w:rsidRDefault="001D121B" w:rsidP="001D121B">
            <w:pPr>
              <w:spacing w:line="240" w:lineRule="auto"/>
              <w:jc w:val="center"/>
              <w:rPr>
                <w:rFonts w:ascii="Times New Roman" w:hAnsi="Times New Roman" w:cs="Times New Roman"/>
                <w:sz w:val="24"/>
                <w:szCs w:val="24"/>
                <w:lang w:val="de-DE"/>
              </w:rPr>
            </w:pPr>
          </w:p>
        </w:tc>
      </w:tr>
      <w:tr w:rsidR="001D121B" w:rsidRPr="00AF78CA" w:rsidTr="00451EBA">
        <w:trPr>
          <w:cantSplit/>
          <w:trHeight w:val="543"/>
        </w:trPr>
        <w:tc>
          <w:tcPr>
            <w:tcW w:w="2722" w:type="dxa"/>
            <w:tcBorders>
              <w:bottom w:val="nil"/>
            </w:tcBorders>
            <w:vAlign w:val="center"/>
          </w:tcPr>
          <w:p w:rsidR="001D121B" w:rsidRPr="00AF78CA" w:rsidRDefault="001D121B" w:rsidP="001D121B">
            <w:pPr>
              <w:spacing w:line="240" w:lineRule="auto"/>
              <w:rPr>
                <w:rFonts w:ascii="Times New Roman" w:hAnsi="Times New Roman" w:cs="Times New Roman"/>
                <w:sz w:val="24"/>
                <w:szCs w:val="24"/>
                <w:vertAlign w:val="superscript"/>
              </w:rPr>
            </w:pPr>
            <w:r w:rsidRPr="00AF78CA">
              <w:rPr>
                <w:rFonts w:ascii="Times New Roman" w:hAnsi="Times New Roman" w:cs="Times New Roman"/>
                <w:sz w:val="24"/>
                <w:szCs w:val="24"/>
              </w:rPr>
              <w:t>Normální půdy</w:t>
            </w:r>
            <w:r w:rsidRPr="00AF78CA">
              <w:rPr>
                <w:rFonts w:ascii="Times New Roman" w:hAnsi="Times New Roman" w:cs="Times New Roman"/>
                <w:sz w:val="24"/>
                <w:szCs w:val="24"/>
                <w:vertAlign w:val="superscript"/>
              </w:rPr>
              <w:t>1)</w:t>
            </w:r>
          </w:p>
        </w:tc>
        <w:tc>
          <w:tcPr>
            <w:tcW w:w="495" w:type="dxa"/>
            <w:tcBorders>
              <w:bottom w:val="nil"/>
            </w:tcBorders>
            <w:vAlign w:val="center"/>
          </w:tcPr>
          <w:p w:rsidR="001D121B" w:rsidRPr="00AF78CA" w:rsidRDefault="001D121B" w:rsidP="001D121B">
            <w:pPr>
              <w:spacing w:line="240" w:lineRule="auto"/>
              <w:ind w:right="57"/>
              <w:jc w:val="right"/>
              <w:rPr>
                <w:rFonts w:ascii="Times New Roman" w:hAnsi="Times New Roman" w:cs="Times New Roman"/>
                <w:sz w:val="24"/>
                <w:szCs w:val="24"/>
              </w:rPr>
            </w:pPr>
            <w:r w:rsidRPr="00AF78CA">
              <w:rPr>
                <w:rFonts w:ascii="Times New Roman" w:hAnsi="Times New Roman" w:cs="Times New Roman"/>
                <w:sz w:val="24"/>
                <w:szCs w:val="24"/>
              </w:rPr>
              <w:t>20</w:t>
            </w:r>
          </w:p>
        </w:tc>
        <w:tc>
          <w:tcPr>
            <w:tcW w:w="495" w:type="dxa"/>
            <w:tcBorders>
              <w:bottom w:val="nil"/>
            </w:tcBorders>
            <w:vAlign w:val="center"/>
          </w:tcPr>
          <w:p w:rsidR="001D121B" w:rsidRPr="00AF78CA" w:rsidRDefault="001D121B" w:rsidP="001D121B">
            <w:pPr>
              <w:spacing w:line="240" w:lineRule="auto"/>
              <w:ind w:right="57"/>
              <w:jc w:val="right"/>
              <w:rPr>
                <w:rFonts w:ascii="Times New Roman" w:hAnsi="Times New Roman" w:cs="Times New Roman"/>
                <w:sz w:val="24"/>
                <w:szCs w:val="24"/>
              </w:rPr>
            </w:pPr>
            <w:r w:rsidRPr="00AF78CA">
              <w:rPr>
                <w:rFonts w:ascii="Times New Roman" w:hAnsi="Times New Roman" w:cs="Times New Roman"/>
                <w:sz w:val="24"/>
                <w:szCs w:val="24"/>
              </w:rPr>
              <w:t>2.0</w:t>
            </w:r>
          </w:p>
        </w:tc>
        <w:tc>
          <w:tcPr>
            <w:tcW w:w="569" w:type="dxa"/>
            <w:tcBorders>
              <w:bottom w:val="nil"/>
            </w:tcBorders>
            <w:vAlign w:val="center"/>
          </w:tcPr>
          <w:p w:rsidR="001D121B" w:rsidRPr="00AF78CA" w:rsidRDefault="001D121B" w:rsidP="001D121B">
            <w:pPr>
              <w:spacing w:line="240" w:lineRule="auto"/>
              <w:ind w:right="57"/>
              <w:jc w:val="right"/>
              <w:rPr>
                <w:rFonts w:ascii="Times New Roman" w:hAnsi="Times New Roman" w:cs="Times New Roman"/>
                <w:sz w:val="24"/>
                <w:szCs w:val="24"/>
              </w:rPr>
            </w:pPr>
            <w:r w:rsidRPr="00AF78CA">
              <w:rPr>
                <w:rFonts w:ascii="Times New Roman" w:hAnsi="Times New Roman" w:cs="Times New Roman"/>
                <w:sz w:val="24"/>
                <w:szCs w:val="24"/>
              </w:rPr>
              <w:t>0.5</w:t>
            </w:r>
          </w:p>
        </w:tc>
        <w:tc>
          <w:tcPr>
            <w:tcW w:w="421" w:type="dxa"/>
            <w:tcBorders>
              <w:bottom w:val="nil"/>
            </w:tcBorders>
            <w:vAlign w:val="center"/>
          </w:tcPr>
          <w:p w:rsidR="001D121B" w:rsidRPr="00AF78CA" w:rsidRDefault="001D121B" w:rsidP="001D121B">
            <w:pPr>
              <w:spacing w:line="240" w:lineRule="auto"/>
              <w:ind w:right="57"/>
              <w:jc w:val="right"/>
              <w:rPr>
                <w:rFonts w:ascii="Times New Roman" w:hAnsi="Times New Roman" w:cs="Times New Roman"/>
                <w:sz w:val="24"/>
                <w:szCs w:val="24"/>
              </w:rPr>
            </w:pPr>
            <w:r w:rsidRPr="00AF78CA">
              <w:rPr>
                <w:rFonts w:ascii="Times New Roman" w:hAnsi="Times New Roman" w:cs="Times New Roman"/>
                <w:sz w:val="24"/>
                <w:szCs w:val="24"/>
              </w:rPr>
              <w:t>30</w:t>
            </w:r>
          </w:p>
        </w:tc>
        <w:tc>
          <w:tcPr>
            <w:tcW w:w="495" w:type="dxa"/>
            <w:tcBorders>
              <w:bottom w:val="nil"/>
            </w:tcBorders>
            <w:vAlign w:val="center"/>
          </w:tcPr>
          <w:p w:rsidR="001D121B" w:rsidRPr="00AF78CA" w:rsidRDefault="001D121B" w:rsidP="001D121B">
            <w:pPr>
              <w:spacing w:line="240" w:lineRule="auto"/>
              <w:ind w:right="57"/>
              <w:jc w:val="right"/>
              <w:rPr>
                <w:rFonts w:ascii="Times New Roman" w:hAnsi="Times New Roman" w:cs="Times New Roman"/>
                <w:sz w:val="24"/>
                <w:szCs w:val="24"/>
              </w:rPr>
            </w:pPr>
            <w:r w:rsidRPr="00AF78CA">
              <w:rPr>
                <w:rFonts w:ascii="Times New Roman" w:hAnsi="Times New Roman" w:cs="Times New Roman"/>
                <w:sz w:val="24"/>
                <w:szCs w:val="24"/>
              </w:rPr>
              <w:t>90</w:t>
            </w:r>
          </w:p>
        </w:tc>
        <w:tc>
          <w:tcPr>
            <w:tcW w:w="495" w:type="dxa"/>
            <w:tcBorders>
              <w:bottom w:val="nil"/>
            </w:tcBorders>
            <w:vAlign w:val="center"/>
          </w:tcPr>
          <w:p w:rsidR="001D121B" w:rsidRPr="00AF78CA" w:rsidRDefault="001D121B" w:rsidP="001D121B">
            <w:pPr>
              <w:spacing w:line="240" w:lineRule="auto"/>
              <w:ind w:right="57"/>
              <w:jc w:val="right"/>
              <w:rPr>
                <w:rFonts w:ascii="Times New Roman" w:hAnsi="Times New Roman" w:cs="Times New Roman"/>
                <w:sz w:val="24"/>
                <w:szCs w:val="24"/>
              </w:rPr>
            </w:pPr>
            <w:r w:rsidRPr="00AF78CA">
              <w:rPr>
                <w:rFonts w:ascii="Times New Roman" w:hAnsi="Times New Roman" w:cs="Times New Roman"/>
                <w:sz w:val="24"/>
                <w:szCs w:val="24"/>
              </w:rPr>
              <w:t>60</w:t>
            </w:r>
          </w:p>
        </w:tc>
        <w:tc>
          <w:tcPr>
            <w:tcW w:w="495" w:type="dxa"/>
            <w:tcBorders>
              <w:bottom w:val="nil"/>
            </w:tcBorders>
            <w:vAlign w:val="center"/>
          </w:tcPr>
          <w:p w:rsidR="001D121B" w:rsidRPr="00AF78CA" w:rsidRDefault="001D121B" w:rsidP="001D121B">
            <w:pPr>
              <w:spacing w:line="240" w:lineRule="auto"/>
              <w:ind w:right="57"/>
              <w:jc w:val="center"/>
              <w:rPr>
                <w:rFonts w:ascii="Times New Roman" w:hAnsi="Times New Roman" w:cs="Times New Roman"/>
                <w:sz w:val="24"/>
                <w:szCs w:val="24"/>
              </w:rPr>
            </w:pPr>
            <w:r w:rsidRPr="00AF78CA">
              <w:rPr>
                <w:rFonts w:ascii="Times New Roman" w:hAnsi="Times New Roman" w:cs="Times New Roman"/>
                <w:sz w:val="24"/>
                <w:szCs w:val="24"/>
              </w:rPr>
              <w:t>0,3</w:t>
            </w:r>
          </w:p>
        </w:tc>
        <w:tc>
          <w:tcPr>
            <w:tcW w:w="76" w:type="dxa"/>
            <w:tcBorders>
              <w:bottom w:val="nil"/>
            </w:tcBorders>
            <w:vAlign w:val="center"/>
          </w:tcPr>
          <w:p w:rsidR="001D121B" w:rsidRPr="00AF78CA" w:rsidRDefault="001D121B" w:rsidP="001D121B">
            <w:pPr>
              <w:spacing w:line="240" w:lineRule="auto"/>
              <w:ind w:right="57"/>
              <w:jc w:val="right"/>
              <w:rPr>
                <w:rFonts w:ascii="Times New Roman" w:hAnsi="Times New Roman" w:cs="Times New Roman"/>
                <w:sz w:val="24"/>
                <w:szCs w:val="24"/>
              </w:rPr>
            </w:pPr>
          </w:p>
        </w:tc>
        <w:tc>
          <w:tcPr>
            <w:tcW w:w="534" w:type="dxa"/>
            <w:tcBorders>
              <w:bottom w:val="nil"/>
            </w:tcBorders>
            <w:vAlign w:val="center"/>
          </w:tcPr>
          <w:p w:rsidR="001D121B" w:rsidRPr="00AF78CA" w:rsidRDefault="001D121B" w:rsidP="001D121B">
            <w:pPr>
              <w:spacing w:line="240" w:lineRule="auto"/>
              <w:ind w:right="57"/>
              <w:jc w:val="right"/>
              <w:rPr>
                <w:rFonts w:ascii="Times New Roman" w:hAnsi="Times New Roman" w:cs="Times New Roman"/>
                <w:sz w:val="24"/>
                <w:szCs w:val="24"/>
              </w:rPr>
            </w:pPr>
            <w:r w:rsidRPr="00AF78CA">
              <w:rPr>
                <w:rFonts w:ascii="Times New Roman" w:hAnsi="Times New Roman" w:cs="Times New Roman"/>
                <w:sz w:val="24"/>
                <w:szCs w:val="24"/>
              </w:rPr>
              <w:t>50</w:t>
            </w:r>
          </w:p>
        </w:tc>
        <w:tc>
          <w:tcPr>
            <w:tcW w:w="567" w:type="dxa"/>
            <w:tcBorders>
              <w:bottom w:val="nil"/>
            </w:tcBorders>
            <w:vAlign w:val="center"/>
          </w:tcPr>
          <w:p w:rsidR="001D121B" w:rsidRPr="00AF78CA" w:rsidRDefault="001D121B" w:rsidP="001D121B">
            <w:pPr>
              <w:spacing w:line="240" w:lineRule="auto"/>
              <w:ind w:right="57"/>
              <w:jc w:val="right"/>
              <w:rPr>
                <w:rFonts w:ascii="Times New Roman" w:hAnsi="Times New Roman" w:cs="Times New Roman"/>
                <w:sz w:val="24"/>
                <w:szCs w:val="24"/>
              </w:rPr>
            </w:pPr>
            <w:r w:rsidRPr="00AF78CA">
              <w:rPr>
                <w:rFonts w:ascii="Times New Roman" w:hAnsi="Times New Roman" w:cs="Times New Roman"/>
                <w:sz w:val="24"/>
                <w:szCs w:val="24"/>
              </w:rPr>
              <w:t>60</w:t>
            </w:r>
          </w:p>
        </w:tc>
        <w:tc>
          <w:tcPr>
            <w:tcW w:w="567" w:type="dxa"/>
            <w:tcBorders>
              <w:bottom w:val="nil"/>
            </w:tcBorders>
            <w:vAlign w:val="center"/>
          </w:tcPr>
          <w:p w:rsidR="001D121B" w:rsidRPr="00AF78CA" w:rsidRDefault="001D121B" w:rsidP="001D121B">
            <w:pPr>
              <w:spacing w:line="240" w:lineRule="auto"/>
              <w:ind w:right="57"/>
              <w:jc w:val="right"/>
              <w:rPr>
                <w:rFonts w:ascii="Times New Roman" w:hAnsi="Times New Roman" w:cs="Times New Roman"/>
                <w:sz w:val="24"/>
                <w:szCs w:val="24"/>
              </w:rPr>
            </w:pPr>
            <w:r w:rsidRPr="00AF78CA">
              <w:rPr>
                <w:rFonts w:ascii="Times New Roman" w:hAnsi="Times New Roman" w:cs="Times New Roman"/>
                <w:sz w:val="24"/>
                <w:szCs w:val="24"/>
              </w:rPr>
              <w:t>130</w:t>
            </w:r>
          </w:p>
        </w:tc>
        <w:tc>
          <w:tcPr>
            <w:tcW w:w="567" w:type="dxa"/>
            <w:tcBorders>
              <w:bottom w:val="nil"/>
            </w:tcBorders>
            <w:vAlign w:val="center"/>
          </w:tcPr>
          <w:p w:rsidR="001D121B" w:rsidRPr="00AF78CA" w:rsidRDefault="001D121B" w:rsidP="001D121B">
            <w:pPr>
              <w:spacing w:line="240" w:lineRule="auto"/>
              <w:ind w:right="57"/>
              <w:jc w:val="right"/>
              <w:rPr>
                <w:rFonts w:ascii="Times New Roman" w:hAnsi="Times New Roman" w:cs="Times New Roman"/>
                <w:sz w:val="24"/>
                <w:szCs w:val="24"/>
              </w:rPr>
            </w:pPr>
            <w:r w:rsidRPr="00AF78CA">
              <w:rPr>
                <w:rFonts w:ascii="Times New Roman" w:hAnsi="Times New Roman" w:cs="Times New Roman"/>
                <w:sz w:val="24"/>
                <w:szCs w:val="24"/>
              </w:rPr>
              <w:t>120</w:t>
            </w:r>
          </w:p>
        </w:tc>
        <w:tc>
          <w:tcPr>
            <w:tcW w:w="142" w:type="dxa"/>
            <w:tcBorders>
              <w:bottom w:val="nil"/>
            </w:tcBorders>
            <w:vAlign w:val="center"/>
          </w:tcPr>
          <w:p w:rsidR="001D121B" w:rsidRPr="00AF78CA" w:rsidRDefault="001D121B" w:rsidP="001D121B">
            <w:pPr>
              <w:spacing w:line="240" w:lineRule="auto"/>
              <w:ind w:right="57"/>
              <w:jc w:val="right"/>
              <w:rPr>
                <w:rFonts w:ascii="Times New Roman" w:hAnsi="Times New Roman" w:cs="Times New Roman"/>
                <w:sz w:val="24"/>
                <w:szCs w:val="24"/>
              </w:rPr>
            </w:pPr>
          </w:p>
        </w:tc>
      </w:tr>
      <w:tr w:rsidR="001D121B" w:rsidRPr="00AF78CA" w:rsidTr="00451EBA">
        <w:trPr>
          <w:cantSplit/>
          <w:trHeight w:val="544"/>
        </w:trPr>
        <w:tc>
          <w:tcPr>
            <w:tcW w:w="2722" w:type="dxa"/>
            <w:tcBorders>
              <w:top w:val="nil"/>
            </w:tcBorders>
            <w:vAlign w:val="center"/>
          </w:tcPr>
          <w:p w:rsidR="001D121B" w:rsidRPr="00AF78CA" w:rsidRDefault="001D121B" w:rsidP="001D121B">
            <w:pPr>
              <w:spacing w:line="240" w:lineRule="auto"/>
              <w:rPr>
                <w:rFonts w:ascii="Times New Roman" w:hAnsi="Times New Roman" w:cs="Times New Roman"/>
                <w:sz w:val="24"/>
                <w:szCs w:val="24"/>
                <w:vertAlign w:val="superscript"/>
                <w:lang w:val="en-US"/>
              </w:rPr>
            </w:pPr>
            <w:proofErr w:type="spellStart"/>
            <w:r w:rsidRPr="00AF78CA">
              <w:rPr>
                <w:rFonts w:ascii="Times New Roman" w:hAnsi="Times New Roman" w:cs="Times New Roman"/>
                <w:sz w:val="24"/>
                <w:szCs w:val="24"/>
                <w:lang w:val="en-US"/>
              </w:rPr>
              <w:t>Lehké</w:t>
            </w:r>
            <w:proofErr w:type="spellEnd"/>
            <w:r w:rsidRPr="00AF78CA">
              <w:rPr>
                <w:rFonts w:ascii="Times New Roman" w:hAnsi="Times New Roman" w:cs="Times New Roman"/>
                <w:sz w:val="24"/>
                <w:szCs w:val="24"/>
                <w:lang w:val="en-US"/>
              </w:rPr>
              <w:t xml:space="preserve"> </w:t>
            </w:r>
            <w:proofErr w:type="spellStart"/>
            <w:r w:rsidRPr="00AF78CA">
              <w:rPr>
                <w:rFonts w:ascii="Times New Roman" w:hAnsi="Times New Roman" w:cs="Times New Roman"/>
                <w:sz w:val="24"/>
                <w:szCs w:val="24"/>
                <w:lang w:val="en-US"/>
              </w:rPr>
              <w:t>půdy</w:t>
            </w:r>
            <w:proofErr w:type="spellEnd"/>
            <w:r w:rsidRPr="00AF78CA">
              <w:rPr>
                <w:rFonts w:ascii="Times New Roman" w:hAnsi="Times New Roman" w:cs="Times New Roman"/>
                <w:sz w:val="24"/>
                <w:szCs w:val="24"/>
                <w:vertAlign w:val="superscript"/>
                <w:lang w:val="en-US"/>
              </w:rPr>
              <w:t xml:space="preserve"> 2)</w:t>
            </w:r>
          </w:p>
        </w:tc>
        <w:tc>
          <w:tcPr>
            <w:tcW w:w="495" w:type="dxa"/>
            <w:tcBorders>
              <w:top w:val="nil"/>
            </w:tcBorders>
            <w:vAlign w:val="center"/>
          </w:tcPr>
          <w:p w:rsidR="001D121B" w:rsidRPr="00AF78CA" w:rsidRDefault="001D121B" w:rsidP="001D121B">
            <w:pPr>
              <w:spacing w:line="240" w:lineRule="auto"/>
              <w:ind w:right="57"/>
              <w:jc w:val="right"/>
              <w:rPr>
                <w:rFonts w:ascii="Times New Roman" w:hAnsi="Times New Roman" w:cs="Times New Roman"/>
                <w:sz w:val="24"/>
                <w:szCs w:val="24"/>
                <w:lang w:val="de-DE"/>
              </w:rPr>
            </w:pPr>
            <w:r w:rsidRPr="00AF78CA">
              <w:rPr>
                <w:rFonts w:ascii="Times New Roman" w:hAnsi="Times New Roman" w:cs="Times New Roman"/>
                <w:sz w:val="24"/>
                <w:szCs w:val="24"/>
                <w:lang w:val="de-DE"/>
              </w:rPr>
              <w:t>15</w:t>
            </w:r>
          </w:p>
        </w:tc>
        <w:tc>
          <w:tcPr>
            <w:tcW w:w="495" w:type="dxa"/>
            <w:tcBorders>
              <w:top w:val="nil"/>
            </w:tcBorders>
            <w:vAlign w:val="center"/>
          </w:tcPr>
          <w:p w:rsidR="001D121B" w:rsidRPr="00AF78CA" w:rsidRDefault="001D121B" w:rsidP="001D121B">
            <w:pPr>
              <w:spacing w:line="240" w:lineRule="auto"/>
              <w:ind w:right="57"/>
              <w:jc w:val="right"/>
              <w:rPr>
                <w:rFonts w:ascii="Times New Roman" w:hAnsi="Times New Roman" w:cs="Times New Roman"/>
                <w:sz w:val="24"/>
                <w:szCs w:val="24"/>
                <w:lang w:val="de-DE"/>
              </w:rPr>
            </w:pPr>
            <w:r w:rsidRPr="00AF78CA">
              <w:rPr>
                <w:rFonts w:ascii="Times New Roman" w:hAnsi="Times New Roman" w:cs="Times New Roman"/>
                <w:sz w:val="24"/>
                <w:szCs w:val="24"/>
                <w:lang w:val="de-DE"/>
              </w:rPr>
              <w:t>1.5</w:t>
            </w:r>
          </w:p>
        </w:tc>
        <w:tc>
          <w:tcPr>
            <w:tcW w:w="569" w:type="dxa"/>
            <w:tcBorders>
              <w:top w:val="nil"/>
            </w:tcBorders>
            <w:vAlign w:val="center"/>
          </w:tcPr>
          <w:p w:rsidR="001D121B" w:rsidRPr="00AF78CA" w:rsidRDefault="001D121B" w:rsidP="001D121B">
            <w:pPr>
              <w:spacing w:line="240" w:lineRule="auto"/>
              <w:ind w:right="57"/>
              <w:jc w:val="right"/>
              <w:rPr>
                <w:rFonts w:ascii="Times New Roman" w:hAnsi="Times New Roman" w:cs="Times New Roman"/>
                <w:sz w:val="24"/>
                <w:szCs w:val="24"/>
                <w:lang w:val="de-DE"/>
              </w:rPr>
            </w:pPr>
            <w:r w:rsidRPr="00AF78CA">
              <w:rPr>
                <w:rFonts w:ascii="Times New Roman" w:hAnsi="Times New Roman" w:cs="Times New Roman"/>
                <w:sz w:val="24"/>
                <w:szCs w:val="24"/>
                <w:lang w:val="de-DE"/>
              </w:rPr>
              <w:t>0.4</w:t>
            </w:r>
          </w:p>
        </w:tc>
        <w:tc>
          <w:tcPr>
            <w:tcW w:w="421" w:type="dxa"/>
            <w:tcBorders>
              <w:top w:val="nil"/>
            </w:tcBorders>
            <w:vAlign w:val="center"/>
          </w:tcPr>
          <w:p w:rsidR="001D121B" w:rsidRPr="00AF78CA" w:rsidRDefault="001D121B" w:rsidP="001D121B">
            <w:pPr>
              <w:spacing w:line="240" w:lineRule="auto"/>
              <w:ind w:right="57"/>
              <w:jc w:val="right"/>
              <w:rPr>
                <w:rFonts w:ascii="Times New Roman" w:hAnsi="Times New Roman" w:cs="Times New Roman"/>
                <w:sz w:val="24"/>
                <w:szCs w:val="24"/>
                <w:lang w:val="de-DE"/>
              </w:rPr>
            </w:pPr>
            <w:r w:rsidRPr="00AF78CA">
              <w:rPr>
                <w:rFonts w:ascii="Times New Roman" w:hAnsi="Times New Roman" w:cs="Times New Roman"/>
                <w:sz w:val="24"/>
                <w:szCs w:val="24"/>
                <w:lang w:val="de-DE"/>
              </w:rPr>
              <w:t>20</w:t>
            </w:r>
          </w:p>
        </w:tc>
        <w:tc>
          <w:tcPr>
            <w:tcW w:w="495" w:type="dxa"/>
            <w:tcBorders>
              <w:top w:val="nil"/>
            </w:tcBorders>
            <w:vAlign w:val="center"/>
          </w:tcPr>
          <w:p w:rsidR="001D121B" w:rsidRPr="00AF78CA" w:rsidRDefault="001D121B" w:rsidP="001D121B">
            <w:pPr>
              <w:spacing w:line="240" w:lineRule="auto"/>
              <w:ind w:right="57"/>
              <w:jc w:val="right"/>
              <w:rPr>
                <w:rFonts w:ascii="Times New Roman" w:hAnsi="Times New Roman" w:cs="Times New Roman"/>
                <w:sz w:val="24"/>
                <w:szCs w:val="24"/>
                <w:lang w:val="de-DE"/>
              </w:rPr>
            </w:pPr>
            <w:r w:rsidRPr="00AF78CA">
              <w:rPr>
                <w:rFonts w:ascii="Times New Roman" w:hAnsi="Times New Roman" w:cs="Times New Roman"/>
                <w:sz w:val="24"/>
                <w:szCs w:val="24"/>
                <w:lang w:val="de-DE"/>
              </w:rPr>
              <w:t>55</w:t>
            </w:r>
          </w:p>
        </w:tc>
        <w:tc>
          <w:tcPr>
            <w:tcW w:w="495" w:type="dxa"/>
            <w:tcBorders>
              <w:top w:val="nil"/>
            </w:tcBorders>
            <w:vAlign w:val="center"/>
          </w:tcPr>
          <w:p w:rsidR="001D121B" w:rsidRPr="00AF78CA" w:rsidRDefault="001D121B" w:rsidP="001D121B">
            <w:pPr>
              <w:spacing w:line="240" w:lineRule="auto"/>
              <w:ind w:right="57"/>
              <w:jc w:val="right"/>
              <w:rPr>
                <w:rFonts w:ascii="Times New Roman" w:hAnsi="Times New Roman" w:cs="Times New Roman"/>
                <w:sz w:val="24"/>
                <w:szCs w:val="24"/>
                <w:lang w:val="de-DE"/>
              </w:rPr>
            </w:pPr>
            <w:r w:rsidRPr="00AF78CA">
              <w:rPr>
                <w:rFonts w:ascii="Times New Roman" w:hAnsi="Times New Roman" w:cs="Times New Roman"/>
                <w:sz w:val="24"/>
                <w:szCs w:val="24"/>
                <w:lang w:val="de-DE"/>
              </w:rPr>
              <w:t>45</w:t>
            </w:r>
          </w:p>
        </w:tc>
        <w:tc>
          <w:tcPr>
            <w:tcW w:w="495" w:type="dxa"/>
            <w:tcBorders>
              <w:top w:val="nil"/>
            </w:tcBorders>
            <w:vAlign w:val="center"/>
          </w:tcPr>
          <w:p w:rsidR="001D121B" w:rsidRPr="00AF78CA" w:rsidRDefault="001D121B" w:rsidP="001D121B">
            <w:pPr>
              <w:spacing w:line="240" w:lineRule="auto"/>
              <w:ind w:right="57"/>
              <w:jc w:val="center"/>
              <w:rPr>
                <w:rFonts w:ascii="Times New Roman" w:hAnsi="Times New Roman" w:cs="Times New Roman"/>
                <w:sz w:val="24"/>
                <w:szCs w:val="24"/>
                <w:lang w:val="de-DE"/>
              </w:rPr>
            </w:pPr>
            <w:r w:rsidRPr="00AF78CA">
              <w:rPr>
                <w:rFonts w:ascii="Times New Roman" w:hAnsi="Times New Roman" w:cs="Times New Roman"/>
                <w:sz w:val="24"/>
                <w:szCs w:val="24"/>
                <w:lang w:val="de-DE"/>
              </w:rPr>
              <w:t>0,3</w:t>
            </w:r>
          </w:p>
        </w:tc>
        <w:tc>
          <w:tcPr>
            <w:tcW w:w="76" w:type="dxa"/>
            <w:tcBorders>
              <w:top w:val="nil"/>
            </w:tcBorders>
            <w:vAlign w:val="center"/>
          </w:tcPr>
          <w:p w:rsidR="001D121B" w:rsidRPr="00AF78CA" w:rsidRDefault="001D121B" w:rsidP="001D121B">
            <w:pPr>
              <w:spacing w:line="240" w:lineRule="auto"/>
              <w:ind w:right="57"/>
              <w:jc w:val="right"/>
              <w:rPr>
                <w:rFonts w:ascii="Times New Roman" w:hAnsi="Times New Roman" w:cs="Times New Roman"/>
                <w:sz w:val="24"/>
                <w:szCs w:val="24"/>
                <w:lang w:val="de-DE"/>
              </w:rPr>
            </w:pPr>
          </w:p>
        </w:tc>
        <w:tc>
          <w:tcPr>
            <w:tcW w:w="534" w:type="dxa"/>
            <w:tcBorders>
              <w:top w:val="nil"/>
            </w:tcBorders>
            <w:vAlign w:val="center"/>
          </w:tcPr>
          <w:p w:rsidR="001D121B" w:rsidRPr="00AF78CA" w:rsidRDefault="001D121B" w:rsidP="001D121B">
            <w:pPr>
              <w:spacing w:line="240" w:lineRule="auto"/>
              <w:ind w:right="57"/>
              <w:jc w:val="right"/>
              <w:rPr>
                <w:rFonts w:ascii="Times New Roman" w:hAnsi="Times New Roman" w:cs="Times New Roman"/>
                <w:sz w:val="24"/>
                <w:szCs w:val="24"/>
                <w:lang w:val="de-DE"/>
              </w:rPr>
            </w:pPr>
            <w:r w:rsidRPr="00AF78CA">
              <w:rPr>
                <w:rFonts w:ascii="Times New Roman" w:hAnsi="Times New Roman" w:cs="Times New Roman"/>
                <w:sz w:val="24"/>
                <w:szCs w:val="24"/>
                <w:lang w:val="de-DE"/>
              </w:rPr>
              <w:t>45</w:t>
            </w:r>
          </w:p>
        </w:tc>
        <w:tc>
          <w:tcPr>
            <w:tcW w:w="567" w:type="dxa"/>
            <w:tcBorders>
              <w:top w:val="nil"/>
            </w:tcBorders>
            <w:vAlign w:val="center"/>
          </w:tcPr>
          <w:p w:rsidR="001D121B" w:rsidRPr="00AF78CA" w:rsidRDefault="001D121B" w:rsidP="001D121B">
            <w:pPr>
              <w:spacing w:line="240" w:lineRule="auto"/>
              <w:ind w:right="57"/>
              <w:jc w:val="right"/>
              <w:rPr>
                <w:rFonts w:ascii="Times New Roman" w:hAnsi="Times New Roman" w:cs="Times New Roman"/>
                <w:sz w:val="24"/>
                <w:szCs w:val="24"/>
                <w:lang w:val="de-DE"/>
              </w:rPr>
            </w:pPr>
            <w:r w:rsidRPr="00AF78CA">
              <w:rPr>
                <w:rFonts w:ascii="Times New Roman" w:hAnsi="Times New Roman" w:cs="Times New Roman"/>
                <w:sz w:val="24"/>
                <w:szCs w:val="24"/>
                <w:lang w:val="de-DE"/>
              </w:rPr>
              <w:t>55</w:t>
            </w:r>
          </w:p>
        </w:tc>
        <w:tc>
          <w:tcPr>
            <w:tcW w:w="567" w:type="dxa"/>
            <w:tcBorders>
              <w:top w:val="nil"/>
            </w:tcBorders>
            <w:vAlign w:val="center"/>
          </w:tcPr>
          <w:p w:rsidR="001D121B" w:rsidRPr="00AF78CA" w:rsidRDefault="001D121B" w:rsidP="001D121B">
            <w:pPr>
              <w:spacing w:line="240" w:lineRule="auto"/>
              <w:ind w:right="57"/>
              <w:jc w:val="right"/>
              <w:rPr>
                <w:rFonts w:ascii="Times New Roman" w:hAnsi="Times New Roman" w:cs="Times New Roman"/>
                <w:sz w:val="24"/>
                <w:szCs w:val="24"/>
                <w:lang w:val="de-DE"/>
              </w:rPr>
            </w:pPr>
            <w:r w:rsidRPr="00AF78CA">
              <w:rPr>
                <w:rFonts w:ascii="Times New Roman" w:hAnsi="Times New Roman" w:cs="Times New Roman"/>
                <w:sz w:val="24"/>
                <w:szCs w:val="24"/>
                <w:lang w:val="de-DE"/>
              </w:rPr>
              <w:t>120</w:t>
            </w:r>
          </w:p>
        </w:tc>
        <w:tc>
          <w:tcPr>
            <w:tcW w:w="567" w:type="dxa"/>
            <w:tcBorders>
              <w:top w:val="nil"/>
            </w:tcBorders>
            <w:vAlign w:val="center"/>
          </w:tcPr>
          <w:p w:rsidR="001D121B" w:rsidRPr="00AF78CA" w:rsidRDefault="001D121B" w:rsidP="001D121B">
            <w:pPr>
              <w:spacing w:line="240" w:lineRule="auto"/>
              <w:ind w:right="57"/>
              <w:jc w:val="right"/>
              <w:rPr>
                <w:rFonts w:ascii="Times New Roman" w:hAnsi="Times New Roman" w:cs="Times New Roman"/>
                <w:sz w:val="24"/>
                <w:szCs w:val="24"/>
                <w:lang w:val="de-DE"/>
              </w:rPr>
            </w:pPr>
            <w:r w:rsidRPr="00AF78CA">
              <w:rPr>
                <w:rFonts w:ascii="Times New Roman" w:hAnsi="Times New Roman" w:cs="Times New Roman"/>
                <w:sz w:val="24"/>
                <w:szCs w:val="24"/>
                <w:lang w:val="de-DE"/>
              </w:rPr>
              <w:t>105</w:t>
            </w:r>
          </w:p>
        </w:tc>
        <w:tc>
          <w:tcPr>
            <w:tcW w:w="142" w:type="dxa"/>
            <w:tcBorders>
              <w:top w:val="nil"/>
            </w:tcBorders>
            <w:vAlign w:val="center"/>
          </w:tcPr>
          <w:p w:rsidR="001D121B" w:rsidRPr="00AF78CA" w:rsidRDefault="001D121B" w:rsidP="001D121B">
            <w:pPr>
              <w:spacing w:line="240" w:lineRule="auto"/>
              <w:ind w:right="57"/>
              <w:jc w:val="right"/>
              <w:rPr>
                <w:rFonts w:ascii="Times New Roman" w:hAnsi="Times New Roman" w:cs="Times New Roman"/>
                <w:sz w:val="24"/>
                <w:szCs w:val="24"/>
                <w:lang w:val="de-DE"/>
              </w:rPr>
            </w:pPr>
          </w:p>
        </w:tc>
      </w:tr>
    </w:tbl>
    <w:p w:rsidR="001D121B" w:rsidRPr="00AF78CA" w:rsidRDefault="001D121B" w:rsidP="001D121B">
      <w:pPr>
        <w:pStyle w:val="Odstavecseseznamem"/>
        <w:numPr>
          <w:ilvl w:val="0"/>
          <w:numId w:val="19"/>
        </w:numPr>
        <w:spacing w:after="120" w:line="240" w:lineRule="auto"/>
        <w:ind w:left="714" w:hanging="357"/>
        <w:rPr>
          <w:rFonts w:ascii="Times New Roman" w:hAnsi="Times New Roman" w:cs="Times New Roman"/>
          <w:sz w:val="24"/>
          <w:szCs w:val="24"/>
        </w:rPr>
      </w:pPr>
      <w:r w:rsidRPr="00AF78CA">
        <w:rPr>
          <w:rFonts w:ascii="Times New Roman" w:hAnsi="Times New Roman" w:cs="Times New Roman"/>
          <w:sz w:val="24"/>
          <w:szCs w:val="24"/>
        </w:rPr>
        <w:t xml:space="preserve">Půdy zrnitostní kategorie </w:t>
      </w:r>
      <w:proofErr w:type="spellStart"/>
      <w:r w:rsidRPr="00AF78CA">
        <w:rPr>
          <w:rFonts w:ascii="Times New Roman" w:hAnsi="Times New Roman" w:cs="Times New Roman"/>
          <w:sz w:val="24"/>
          <w:szCs w:val="24"/>
        </w:rPr>
        <w:t>písčito</w:t>
      </w:r>
      <w:proofErr w:type="spellEnd"/>
      <w:r w:rsidRPr="00AF78CA">
        <w:rPr>
          <w:rFonts w:ascii="Times New Roman" w:hAnsi="Times New Roman" w:cs="Times New Roman"/>
          <w:sz w:val="24"/>
          <w:szCs w:val="24"/>
        </w:rPr>
        <w:t xml:space="preserve">-hlinité, hlinité, </w:t>
      </w:r>
      <w:proofErr w:type="spellStart"/>
      <w:r w:rsidRPr="00AF78CA">
        <w:rPr>
          <w:rFonts w:ascii="Times New Roman" w:hAnsi="Times New Roman" w:cs="Times New Roman"/>
          <w:sz w:val="24"/>
          <w:szCs w:val="24"/>
        </w:rPr>
        <w:t>jílovito</w:t>
      </w:r>
      <w:proofErr w:type="spellEnd"/>
      <w:r w:rsidRPr="00AF78CA">
        <w:rPr>
          <w:rFonts w:ascii="Times New Roman" w:hAnsi="Times New Roman" w:cs="Times New Roman"/>
          <w:sz w:val="24"/>
          <w:szCs w:val="24"/>
        </w:rPr>
        <w:t>-hlinité a jílovité</w:t>
      </w:r>
    </w:p>
    <w:p w:rsidR="001D121B" w:rsidRPr="00AF78CA" w:rsidRDefault="001D121B" w:rsidP="001D121B">
      <w:pPr>
        <w:pStyle w:val="Odstavecseseznamem"/>
        <w:numPr>
          <w:ilvl w:val="0"/>
          <w:numId w:val="19"/>
        </w:numPr>
        <w:spacing w:before="120" w:after="120" w:line="240" w:lineRule="auto"/>
        <w:rPr>
          <w:rFonts w:ascii="Times New Roman" w:hAnsi="Times New Roman" w:cs="Times New Roman"/>
          <w:sz w:val="24"/>
          <w:szCs w:val="24"/>
        </w:rPr>
      </w:pPr>
      <w:r w:rsidRPr="00AF78CA">
        <w:rPr>
          <w:rFonts w:ascii="Times New Roman" w:hAnsi="Times New Roman" w:cs="Times New Roman"/>
          <w:sz w:val="24"/>
          <w:szCs w:val="24"/>
        </w:rPr>
        <w:t xml:space="preserve">Půdy zrnitostní kategorie písčité a </w:t>
      </w:r>
      <w:proofErr w:type="spellStart"/>
      <w:r w:rsidRPr="00AF78CA">
        <w:rPr>
          <w:rFonts w:ascii="Times New Roman" w:hAnsi="Times New Roman" w:cs="Times New Roman"/>
          <w:sz w:val="24"/>
          <w:szCs w:val="24"/>
        </w:rPr>
        <w:t>hlinito</w:t>
      </w:r>
      <w:proofErr w:type="spellEnd"/>
      <w:r w:rsidRPr="00AF78CA">
        <w:rPr>
          <w:rFonts w:ascii="Times New Roman" w:hAnsi="Times New Roman" w:cs="Times New Roman"/>
          <w:sz w:val="24"/>
          <w:szCs w:val="24"/>
        </w:rPr>
        <w:t>-písčité</w:t>
      </w:r>
    </w:p>
    <w:p w:rsidR="001D121B" w:rsidRPr="00AF78CA" w:rsidRDefault="001D121B" w:rsidP="001D121B">
      <w:pPr>
        <w:spacing w:before="120" w:after="120" w:line="240" w:lineRule="auto"/>
        <w:rPr>
          <w:rFonts w:ascii="Times New Roman" w:hAnsi="Times New Roman" w:cs="Times New Roman"/>
          <w:sz w:val="24"/>
          <w:szCs w:val="24"/>
        </w:rPr>
      </w:pPr>
      <w:r w:rsidRPr="00AF78CA">
        <w:rPr>
          <w:rFonts w:ascii="Times New Roman" w:hAnsi="Times New Roman" w:cs="Times New Roman"/>
          <w:sz w:val="24"/>
          <w:szCs w:val="24"/>
        </w:rPr>
        <w:t>Preventivní hodnoty rizikových látek jsou odvozeny jednoznačně od antropogenní</w:t>
      </w:r>
      <w:r>
        <w:rPr>
          <w:rFonts w:ascii="Times New Roman" w:hAnsi="Times New Roman" w:cs="Times New Roman"/>
          <w:sz w:val="24"/>
          <w:szCs w:val="24"/>
        </w:rPr>
        <w:t xml:space="preserve"> zátěže, uvedeny jsou v následující tabulce</w:t>
      </w:r>
      <w:r w:rsidRPr="00AF78CA">
        <w:rPr>
          <w:rFonts w:ascii="Times New Roman" w:hAnsi="Times New Roman" w:cs="Times New Roman"/>
          <w:sz w:val="24"/>
          <w:szCs w:val="24"/>
        </w:rPr>
        <w:t>.</w:t>
      </w:r>
    </w:p>
    <w:p w:rsidR="001D121B" w:rsidRPr="00AF78CA" w:rsidRDefault="001D121B" w:rsidP="001D121B">
      <w:pPr>
        <w:spacing w:after="0" w:line="240" w:lineRule="auto"/>
        <w:rPr>
          <w:rFonts w:ascii="Times New Roman" w:hAnsi="Times New Roman" w:cs="Times New Roman"/>
          <w:sz w:val="24"/>
          <w:szCs w:val="24"/>
        </w:rPr>
      </w:pPr>
      <w:r w:rsidRPr="00AF78CA">
        <w:rPr>
          <w:rFonts w:ascii="Times New Roman" w:hAnsi="Times New Roman" w:cs="Times New Roman"/>
          <w:sz w:val="24"/>
          <w:szCs w:val="24"/>
        </w:rPr>
        <w:t>Preventivní hodnoty rizikových látek dle vyhlášky MŽP č. 153/2016 Sb.</w:t>
      </w:r>
    </w:p>
    <w:tbl>
      <w:tblPr>
        <w:tblW w:w="914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2622"/>
        <w:gridCol w:w="6520"/>
      </w:tblGrid>
      <w:tr w:rsidR="001D121B" w:rsidRPr="00AF78CA" w:rsidTr="001D121B">
        <w:trPr>
          <w:trHeight w:val="260"/>
        </w:trPr>
        <w:tc>
          <w:tcPr>
            <w:tcW w:w="2622" w:type="dxa"/>
            <w:tcBorders>
              <w:bottom w:val="single" w:sz="4" w:space="0" w:color="auto"/>
            </w:tcBorders>
            <w:vAlign w:val="center"/>
          </w:tcPr>
          <w:p w:rsidR="001D121B" w:rsidRPr="008E726C" w:rsidRDefault="001D121B" w:rsidP="001D121B">
            <w:pPr>
              <w:keepNext/>
              <w:spacing w:line="240" w:lineRule="auto"/>
              <w:rPr>
                <w:rFonts w:ascii="Times New Roman" w:hAnsi="Times New Roman" w:cs="Times New Roman"/>
                <w:sz w:val="24"/>
                <w:szCs w:val="24"/>
              </w:rPr>
            </w:pPr>
          </w:p>
        </w:tc>
        <w:tc>
          <w:tcPr>
            <w:tcW w:w="6520" w:type="dxa"/>
            <w:tcBorders>
              <w:bottom w:val="single" w:sz="4" w:space="0" w:color="auto"/>
            </w:tcBorders>
            <w:vAlign w:val="center"/>
          </w:tcPr>
          <w:p w:rsidR="001D121B" w:rsidRPr="00AF78CA" w:rsidRDefault="001D121B" w:rsidP="001D121B">
            <w:pPr>
              <w:spacing w:line="240" w:lineRule="auto"/>
              <w:jc w:val="center"/>
              <w:rPr>
                <w:rFonts w:ascii="Times New Roman" w:hAnsi="Times New Roman" w:cs="Times New Roman"/>
                <w:sz w:val="24"/>
                <w:szCs w:val="24"/>
                <w:lang w:val="en-GB"/>
              </w:rPr>
            </w:pPr>
            <w:proofErr w:type="spellStart"/>
            <w:r w:rsidRPr="00AF78CA">
              <w:rPr>
                <w:rFonts w:ascii="Times New Roman" w:hAnsi="Times New Roman" w:cs="Times New Roman"/>
                <w:sz w:val="24"/>
                <w:szCs w:val="24"/>
                <w:lang w:val="en-GB"/>
              </w:rPr>
              <w:t>Preventivní</w:t>
            </w:r>
            <w:proofErr w:type="spellEnd"/>
            <w:r w:rsidRPr="00AF78CA">
              <w:rPr>
                <w:rFonts w:ascii="Times New Roman" w:hAnsi="Times New Roman" w:cs="Times New Roman"/>
                <w:sz w:val="24"/>
                <w:szCs w:val="24"/>
                <w:lang w:val="en-GB"/>
              </w:rPr>
              <w:t xml:space="preserve"> </w:t>
            </w:r>
            <w:proofErr w:type="spellStart"/>
            <w:r w:rsidRPr="00AF78CA">
              <w:rPr>
                <w:rFonts w:ascii="Times New Roman" w:hAnsi="Times New Roman" w:cs="Times New Roman"/>
                <w:sz w:val="24"/>
                <w:szCs w:val="24"/>
                <w:lang w:val="en-GB"/>
              </w:rPr>
              <w:t>hodnota</w:t>
            </w:r>
            <w:proofErr w:type="spellEnd"/>
            <w:r w:rsidRPr="00AF78CA">
              <w:rPr>
                <w:rFonts w:ascii="Times New Roman" w:hAnsi="Times New Roman" w:cs="Times New Roman"/>
                <w:sz w:val="24"/>
                <w:szCs w:val="24"/>
                <w:lang w:val="en-GB"/>
              </w:rPr>
              <w:t xml:space="preserve"> (mg/kg </w:t>
            </w:r>
            <w:proofErr w:type="spellStart"/>
            <w:r w:rsidRPr="00AF78CA">
              <w:rPr>
                <w:rFonts w:ascii="Times New Roman" w:hAnsi="Times New Roman" w:cs="Times New Roman"/>
                <w:sz w:val="24"/>
                <w:szCs w:val="24"/>
                <w:lang w:val="en-GB"/>
              </w:rPr>
              <w:t>sušiny</w:t>
            </w:r>
            <w:proofErr w:type="spellEnd"/>
            <w:r w:rsidRPr="00AF78CA">
              <w:rPr>
                <w:rFonts w:ascii="Times New Roman" w:hAnsi="Times New Roman" w:cs="Times New Roman"/>
                <w:sz w:val="24"/>
                <w:szCs w:val="24"/>
                <w:lang w:val="en-GB"/>
              </w:rPr>
              <w:t>)</w:t>
            </w:r>
          </w:p>
        </w:tc>
      </w:tr>
      <w:tr w:rsidR="001D121B" w:rsidRPr="00AF78CA" w:rsidTr="001D121B">
        <w:trPr>
          <w:trHeight w:val="260"/>
        </w:trPr>
        <w:tc>
          <w:tcPr>
            <w:tcW w:w="9142" w:type="dxa"/>
            <w:gridSpan w:val="2"/>
            <w:tcBorders>
              <w:bottom w:val="nil"/>
            </w:tcBorders>
            <w:shd w:val="clear" w:color="000000" w:fill="auto"/>
            <w:vAlign w:val="center"/>
          </w:tcPr>
          <w:p w:rsidR="001D121B" w:rsidRPr="00AF78CA" w:rsidRDefault="001D121B" w:rsidP="001D121B">
            <w:pPr>
              <w:keepNext/>
              <w:spacing w:line="240" w:lineRule="auto"/>
              <w:ind w:right="72"/>
              <w:rPr>
                <w:rFonts w:ascii="Times New Roman" w:hAnsi="Times New Roman" w:cs="Times New Roman"/>
                <w:sz w:val="24"/>
                <w:szCs w:val="24"/>
                <w:lang w:val="en-GB"/>
              </w:rPr>
            </w:pPr>
            <w:proofErr w:type="spellStart"/>
            <w:r w:rsidRPr="00AF78CA">
              <w:rPr>
                <w:rFonts w:ascii="Times New Roman" w:hAnsi="Times New Roman" w:cs="Times New Roman"/>
                <w:sz w:val="24"/>
                <w:szCs w:val="24"/>
                <w:lang w:val="en-GB"/>
              </w:rPr>
              <w:t>Polycy</w:t>
            </w:r>
            <w:r>
              <w:rPr>
                <w:rFonts w:ascii="Times New Roman" w:hAnsi="Times New Roman" w:cs="Times New Roman"/>
                <w:sz w:val="24"/>
                <w:szCs w:val="24"/>
                <w:lang w:val="en-GB"/>
              </w:rPr>
              <w:t>klické</w:t>
            </w:r>
            <w:proofErr w:type="spellEnd"/>
            <w:r w:rsidRPr="00AF78CA">
              <w:rPr>
                <w:rFonts w:ascii="Times New Roman" w:hAnsi="Times New Roman" w:cs="Times New Roman"/>
                <w:sz w:val="24"/>
                <w:szCs w:val="24"/>
                <w:lang w:val="en-GB"/>
              </w:rPr>
              <w:t xml:space="preserve"> </w:t>
            </w:r>
            <w:proofErr w:type="spellStart"/>
            <w:r w:rsidRPr="00AF78CA">
              <w:rPr>
                <w:rFonts w:ascii="Times New Roman" w:hAnsi="Times New Roman" w:cs="Times New Roman"/>
                <w:sz w:val="24"/>
                <w:szCs w:val="24"/>
                <w:lang w:val="en-GB"/>
              </w:rPr>
              <w:t>aromatic</w:t>
            </w:r>
            <w:r>
              <w:rPr>
                <w:rFonts w:ascii="Times New Roman" w:hAnsi="Times New Roman" w:cs="Times New Roman"/>
                <w:sz w:val="24"/>
                <w:szCs w:val="24"/>
                <w:lang w:val="en-GB"/>
              </w:rPr>
              <w:t>ké</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uhlovodíky</w:t>
            </w:r>
            <w:proofErr w:type="spellEnd"/>
          </w:p>
        </w:tc>
      </w:tr>
      <w:tr w:rsidR="001D121B" w:rsidRPr="00AF78CA" w:rsidTr="001D121B">
        <w:trPr>
          <w:trHeight w:val="260"/>
        </w:trPr>
        <w:tc>
          <w:tcPr>
            <w:tcW w:w="2622" w:type="dxa"/>
            <w:tcBorders>
              <w:top w:val="nil"/>
              <w:bottom w:val="single" w:sz="4" w:space="0" w:color="auto"/>
              <w:right w:val="nil"/>
            </w:tcBorders>
            <w:vAlign w:val="center"/>
          </w:tcPr>
          <w:p w:rsidR="001D121B" w:rsidRPr="00AF78CA" w:rsidRDefault="001D121B" w:rsidP="001D121B">
            <w:pPr>
              <w:keepNext/>
              <w:spacing w:line="240" w:lineRule="auto"/>
              <w:rPr>
                <w:rFonts w:ascii="Times New Roman" w:hAnsi="Times New Roman" w:cs="Times New Roman"/>
                <w:sz w:val="24"/>
                <w:szCs w:val="24"/>
                <w:vertAlign w:val="superscript"/>
                <w:lang w:val="en-GB"/>
              </w:rPr>
            </w:pPr>
            <w:r w:rsidRPr="00AF78CA">
              <w:rPr>
                <w:rFonts w:ascii="Times New Roman" w:hAnsi="Times New Roman" w:cs="Times New Roman"/>
                <w:sz w:val="24"/>
                <w:szCs w:val="24"/>
                <w:lang w:val="en-GB"/>
              </w:rPr>
              <w:t>Σ PA</w:t>
            </w:r>
            <w:r>
              <w:rPr>
                <w:rFonts w:ascii="Times New Roman" w:hAnsi="Times New Roman" w:cs="Times New Roman"/>
                <w:sz w:val="24"/>
                <w:szCs w:val="24"/>
                <w:lang w:val="en-GB"/>
              </w:rPr>
              <w:t>U</w:t>
            </w:r>
            <w:r w:rsidRPr="00AF78CA">
              <w:rPr>
                <w:rFonts w:ascii="Times New Roman" w:hAnsi="Times New Roman" w:cs="Times New Roman"/>
                <w:sz w:val="24"/>
                <w:szCs w:val="24"/>
                <w:vertAlign w:val="superscript"/>
                <w:lang w:val="en-GB"/>
              </w:rPr>
              <w:t>1)</w:t>
            </w:r>
          </w:p>
        </w:tc>
        <w:tc>
          <w:tcPr>
            <w:tcW w:w="6520" w:type="dxa"/>
            <w:tcBorders>
              <w:top w:val="nil"/>
              <w:left w:val="nil"/>
              <w:bottom w:val="single" w:sz="4" w:space="0" w:color="auto"/>
            </w:tcBorders>
            <w:vAlign w:val="center"/>
          </w:tcPr>
          <w:p w:rsidR="001D121B" w:rsidRPr="00AF78CA" w:rsidRDefault="001D121B" w:rsidP="001D121B">
            <w:pPr>
              <w:keepNext/>
              <w:spacing w:line="240" w:lineRule="auto"/>
              <w:ind w:right="72"/>
              <w:jc w:val="center"/>
              <w:rPr>
                <w:rFonts w:ascii="Times New Roman" w:hAnsi="Times New Roman" w:cs="Times New Roman"/>
                <w:sz w:val="24"/>
                <w:szCs w:val="24"/>
                <w:lang w:val="en-GB"/>
              </w:rPr>
            </w:pPr>
            <w:r w:rsidRPr="00AF78CA">
              <w:rPr>
                <w:rFonts w:ascii="Times New Roman" w:hAnsi="Times New Roman" w:cs="Times New Roman"/>
                <w:sz w:val="24"/>
                <w:szCs w:val="24"/>
                <w:lang w:val="en-GB"/>
              </w:rPr>
              <w:t>1.0</w:t>
            </w:r>
          </w:p>
        </w:tc>
      </w:tr>
      <w:tr w:rsidR="001D121B" w:rsidRPr="00AF78CA" w:rsidTr="001D121B">
        <w:trPr>
          <w:trHeight w:val="260"/>
        </w:trPr>
        <w:tc>
          <w:tcPr>
            <w:tcW w:w="9142" w:type="dxa"/>
            <w:gridSpan w:val="2"/>
            <w:tcBorders>
              <w:bottom w:val="nil"/>
            </w:tcBorders>
            <w:shd w:val="clear" w:color="000000" w:fill="FFFFFF"/>
            <w:vAlign w:val="center"/>
          </w:tcPr>
          <w:p w:rsidR="001D121B" w:rsidRPr="00AF78CA" w:rsidRDefault="001D121B" w:rsidP="001D121B">
            <w:pPr>
              <w:keepNext/>
              <w:spacing w:line="240" w:lineRule="auto"/>
              <w:ind w:right="72"/>
              <w:rPr>
                <w:rFonts w:ascii="Times New Roman" w:hAnsi="Times New Roman" w:cs="Times New Roman"/>
                <w:sz w:val="24"/>
                <w:szCs w:val="24"/>
                <w:lang w:val="en-GB"/>
              </w:rPr>
            </w:pPr>
            <w:proofErr w:type="spellStart"/>
            <w:r>
              <w:rPr>
                <w:rFonts w:ascii="Times New Roman" w:hAnsi="Times New Roman" w:cs="Times New Roman"/>
                <w:sz w:val="24"/>
                <w:szCs w:val="24"/>
                <w:lang w:val="en-GB"/>
              </w:rPr>
              <w:t>Chlorované</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uhlovodíky</w:t>
            </w:r>
            <w:proofErr w:type="spellEnd"/>
          </w:p>
        </w:tc>
      </w:tr>
      <w:tr w:rsidR="001D121B" w:rsidRPr="00AF78CA" w:rsidTr="001D121B">
        <w:trPr>
          <w:trHeight w:val="260"/>
        </w:trPr>
        <w:tc>
          <w:tcPr>
            <w:tcW w:w="2622" w:type="dxa"/>
            <w:tcBorders>
              <w:top w:val="nil"/>
              <w:bottom w:val="nil"/>
              <w:right w:val="nil"/>
            </w:tcBorders>
            <w:vAlign w:val="center"/>
          </w:tcPr>
          <w:p w:rsidR="001D121B" w:rsidRPr="00AF78CA" w:rsidRDefault="001D121B" w:rsidP="001D121B">
            <w:pPr>
              <w:keepNext/>
              <w:spacing w:line="240" w:lineRule="auto"/>
              <w:rPr>
                <w:rFonts w:ascii="Times New Roman" w:hAnsi="Times New Roman" w:cs="Times New Roman"/>
                <w:sz w:val="24"/>
                <w:szCs w:val="24"/>
                <w:lang w:val="en-GB"/>
              </w:rPr>
            </w:pPr>
            <w:r w:rsidRPr="00AF78CA">
              <w:rPr>
                <w:rFonts w:ascii="Times New Roman" w:hAnsi="Times New Roman" w:cs="Times New Roman"/>
                <w:sz w:val="24"/>
                <w:szCs w:val="24"/>
                <w:lang w:val="en-GB"/>
              </w:rPr>
              <w:t xml:space="preserve">Σ PCB </w:t>
            </w:r>
            <w:r w:rsidRPr="00AF78CA">
              <w:rPr>
                <w:rFonts w:ascii="Times New Roman" w:hAnsi="Times New Roman" w:cs="Times New Roman"/>
                <w:sz w:val="24"/>
                <w:szCs w:val="24"/>
                <w:vertAlign w:val="superscript"/>
                <w:lang w:val="en-GB"/>
              </w:rPr>
              <w:t>2)</w:t>
            </w:r>
          </w:p>
        </w:tc>
        <w:tc>
          <w:tcPr>
            <w:tcW w:w="6520" w:type="dxa"/>
            <w:tcBorders>
              <w:top w:val="nil"/>
              <w:left w:val="nil"/>
              <w:bottom w:val="nil"/>
            </w:tcBorders>
            <w:vAlign w:val="center"/>
          </w:tcPr>
          <w:p w:rsidR="001D121B" w:rsidRPr="00AF78CA" w:rsidRDefault="001D121B" w:rsidP="001D121B">
            <w:pPr>
              <w:keepNext/>
              <w:spacing w:line="240" w:lineRule="auto"/>
              <w:ind w:right="72"/>
              <w:jc w:val="center"/>
              <w:rPr>
                <w:rFonts w:ascii="Times New Roman" w:hAnsi="Times New Roman" w:cs="Times New Roman"/>
                <w:sz w:val="24"/>
                <w:szCs w:val="24"/>
                <w:lang w:val="en-GB"/>
              </w:rPr>
            </w:pPr>
            <w:r w:rsidRPr="00AF78CA">
              <w:rPr>
                <w:rFonts w:ascii="Times New Roman" w:hAnsi="Times New Roman" w:cs="Times New Roman"/>
                <w:sz w:val="24"/>
                <w:szCs w:val="24"/>
                <w:lang w:val="en-GB"/>
              </w:rPr>
              <w:t>0,02</w:t>
            </w:r>
          </w:p>
        </w:tc>
      </w:tr>
      <w:tr w:rsidR="001D121B" w:rsidRPr="00AF78CA" w:rsidTr="001D121B">
        <w:trPr>
          <w:trHeight w:val="260"/>
        </w:trPr>
        <w:tc>
          <w:tcPr>
            <w:tcW w:w="2622" w:type="dxa"/>
            <w:tcBorders>
              <w:top w:val="nil"/>
              <w:bottom w:val="nil"/>
              <w:right w:val="nil"/>
            </w:tcBorders>
            <w:vAlign w:val="center"/>
          </w:tcPr>
          <w:p w:rsidR="001D121B" w:rsidRPr="00AF78CA" w:rsidRDefault="001D121B" w:rsidP="001D121B">
            <w:pPr>
              <w:keepNext/>
              <w:spacing w:line="240" w:lineRule="auto"/>
              <w:rPr>
                <w:rFonts w:ascii="Times New Roman" w:hAnsi="Times New Roman" w:cs="Times New Roman"/>
                <w:sz w:val="24"/>
                <w:szCs w:val="24"/>
                <w:lang w:val="en-GB"/>
              </w:rPr>
            </w:pPr>
            <w:r w:rsidRPr="00AF78CA">
              <w:rPr>
                <w:rFonts w:ascii="Times New Roman" w:hAnsi="Times New Roman" w:cs="Times New Roman"/>
                <w:sz w:val="24"/>
                <w:szCs w:val="24"/>
                <w:lang w:val="en-GB"/>
              </w:rPr>
              <w:t xml:space="preserve">Σ DDT </w:t>
            </w:r>
            <w:r w:rsidRPr="00AF78CA">
              <w:rPr>
                <w:rFonts w:ascii="Times New Roman" w:hAnsi="Times New Roman" w:cs="Times New Roman"/>
                <w:sz w:val="24"/>
                <w:szCs w:val="24"/>
                <w:vertAlign w:val="superscript"/>
                <w:lang w:val="en-GB"/>
              </w:rPr>
              <w:t>3)</w:t>
            </w:r>
          </w:p>
        </w:tc>
        <w:tc>
          <w:tcPr>
            <w:tcW w:w="6520" w:type="dxa"/>
            <w:tcBorders>
              <w:top w:val="nil"/>
              <w:left w:val="nil"/>
              <w:bottom w:val="nil"/>
            </w:tcBorders>
            <w:vAlign w:val="center"/>
          </w:tcPr>
          <w:p w:rsidR="001D121B" w:rsidRPr="00AF78CA" w:rsidRDefault="001D121B" w:rsidP="001D121B">
            <w:pPr>
              <w:keepNext/>
              <w:spacing w:line="240" w:lineRule="auto"/>
              <w:ind w:right="72"/>
              <w:jc w:val="center"/>
              <w:rPr>
                <w:rFonts w:ascii="Times New Roman" w:hAnsi="Times New Roman" w:cs="Times New Roman"/>
                <w:sz w:val="24"/>
                <w:szCs w:val="24"/>
                <w:lang w:val="en-GB"/>
              </w:rPr>
            </w:pPr>
            <w:r w:rsidRPr="00AF78CA">
              <w:rPr>
                <w:rFonts w:ascii="Times New Roman" w:hAnsi="Times New Roman" w:cs="Times New Roman"/>
                <w:sz w:val="24"/>
                <w:szCs w:val="24"/>
                <w:lang w:val="en-GB"/>
              </w:rPr>
              <w:t>0,075</w:t>
            </w:r>
          </w:p>
        </w:tc>
      </w:tr>
      <w:tr w:rsidR="001D121B" w:rsidRPr="00AF78CA" w:rsidTr="001D121B">
        <w:trPr>
          <w:trHeight w:val="260"/>
        </w:trPr>
        <w:tc>
          <w:tcPr>
            <w:tcW w:w="2622" w:type="dxa"/>
            <w:tcBorders>
              <w:top w:val="nil"/>
              <w:bottom w:val="nil"/>
              <w:right w:val="nil"/>
            </w:tcBorders>
            <w:vAlign w:val="center"/>
          </w:tcPr>
          <w:p w:rsidR="001D121B" w:rsidRPr="00AF78CA" w:rsidRDefault="001D121B" w:rsidP="001D121B">
            <w:pPr>
              <w:keepNext/>
              <w:spacing w:line="240" w:lineRule="auto"/>
              <w:rPr>
                <w:rFonts w:ascii="Times New Roman" w:hAnsi="Times New Roman" w:cs="Times New Roman"/>
                <w:sz w:val="24"/>
                <w:szCs w:val="24"/>
                <w:vertAlign w:val="superscript"/>
                <w:lang w:val="en-GB"/>
              </w:rPr>
            </w:pPr>
            <w:r w:rsidRPr="00AF78CA">
              <w:rPr>
                <w:rFonts w:ascii="Times New Roman" w:hAnsi="Times New Roman" w:cs="Times New Roman"/>
                <w:sz w:val="24"/>
                <w:szCs w:val="24"/>
                <w:lang w:val="en-GB"/>
              </w:rPr>
              <w:t>HCB</w:t>
            </w:r>
            <w:r w:rsidRPr="00AF78CA">
              <w:rPr>
                <w:rFonts w:ascii="Times New Roman" w:hAnsi="Times New Roman" w:cs="Times New Roman"/>
                <w:sz w:val="24"/>
                <w:szCs w:val="24"/>
                <w:vertAlign w:val="superscript"/>
                <w:lang w:val="en-GB"/>
              </w:rPr>
              <w:t>4)</w:t>
            </w:r>
          </w:p>
        </w:tc>
        <w:tc>
          <w:tcPr>
            <w:tcW w:w="6520" w:type="dxa"/>
            <w:tcBorders>
              <w:top w:val="nil"/>
              <w:left w:val="nil"/>
              <w:bottom w:val="nil"/>
            </w:tcBorders>
            <w:vAlign w:val="center"/>
          </w:tcPr>
          <w:p w:rsidR="001D121B" w:rsidRPr="00AF78CA" w:rsidRDefault="001D121B" w:rsidP="001D121B">
            <w:pPr>
              <w:keepNext/>
              <w:spacing w:line="240" w:lineRule="auto"/>
              <w:ind w:right="72"/>
              <w:jc w:val="center"/>
              <w:rPr>
                <w:rFonts w:ascii="Times New Roman" w:hAnsi="Times New Roman" w:cs="Times New Roman"/>
                <w:sz w:val="24"/>
                <w:szCs w:val="24"/>
                <w:lang w:val="en-GB"/>
              </w:rPr>
            </w:pPr>
            <w:r w:rsidRPr="00AF78CA">
              <w:rPr>
                <w:rFonts w:ascii="Times New Roman" w:hAnsi="Times New Roman" w:cs="Times New Roman"/>
                <w:sz w:val="24"/>
                <w:szCs w:val="24"/>
                <w:lang w:val="en-GB"/>
              </w:rPr>
              <w:t>0,02</w:t>
            </w:r>
          </w:p>
        </w:tc>
      </w:tr>
      <w:tr w:rsidR="001D121B" w:rsidRPr="00AF78CA" w:rsidTr="001D121B">
        <w:trPr>
          <w:trHeight w:val="260"/>
        </w:trPr>
        <w:tc>
          <w:tcPr>
            <w:tcW w:w="2622" w:type="dxa"/>
            <w:tcBorders>
              <w:top w:val="nil"/>
              <w:bottom w:val="nil"/>
              <w:right w:val="nil"/>
            </w:tcBorders>
            <w:vAlign w:val="center"/>
          </w:tcPr>
          <w:p w:rsidR="001D121B" w:rsidRPr="00AF78CA" w:rsidRDefault="001D121B" w:rsidP="001D121B">
            <w:pPr>
              <w:keepNext/>
              <w:spacing w:line="240" w:lineRule="auto"/>
              <w:rPr>
                <w:rFonts w:ascii="Times New Roman" w:hAnsi="Times New Roman" w:cs="Times New Roman"/>
                <w:sz w:val="24"/>
                <w:szCs w:val="24"/>
                <w:vertAlign w:val="superscript"/>
                <w:lang w:val="en-GB"/>
              </w:rPr>
            </w:pPr>
            <w:r w:rsidRPr="00AF78CA">
              <w:rPr>
                <w:rFonts w:ascii="Times New Roman" w:hAnsi="Times New Roman" w:cs="Times New Roman"/>
                <w:sz w:val="24"/>
                <w:szCs w:val="24"/>
                <w:lang w:val="en-GB"/>
              </w:rPr>
              <w:t>HCH</w:t>
            </w:r>
            <w:r w:rsidRPr="00AF78CA">
              <w:rPr>
                <w:rFonts w:ascii="Times New Roman" w:hAnsi="Times New Roman" w:cs="Times New Roman"/>
                <w:sz w:val="24"/>
                <w:szCs w:val="24"/>
                <w:vertAlign w:val="superscript"/>
                <w:lang w:val="en-GB"/>
              </w:rPr>
              <w:t>4)</w:t>
            </w:r>
            <w:r w:rsidRPr="00AF78CA">
              <w:rPr>
                <w:rFonts w:ascii="Times New Roman" w:hAnsi="Times New Roman" w:cs="Times New Roman"/>
                <w:sz w:val="24"/>
                <w:szCs w:val="24"/>
                <w:lang w:val="en-GB"/>
              </w:rPr>
              <w:t xml:space="preserve"> (Σ α+β+γ)</w:t>
            </w:r>
          </w:p>
        </w:tc>
        <w:tc>
          <w:tcPr>
            <w:tcW w:w="6520" w:type="dxa"/>
            <w:tcBorders>
              <w:top w:val="nil"/>
              <w:left w:val="nil"/>
              <w:bottom w:val="nil"/>
            </w:tcBorders>
            <w:vAlign w:val="center"/>
          </w:tcPr>
          <w:p w:rsidR="001D121B" w:rsidRPr="00AF78CA" w:rsidRDefault="001D121B" w:rsidP="001D121B">
            <w:pPr>
              <w:keepNext/>
              <w:spacing w:line="240" w:lineRule="auto"/>
              <w:ind w:right="72"/>
              <w:jc w:val="center"/>
              <w:rPr>
                <w:rFonts w:ascii="Times New Roman" w:hAnsi="Times New Roman" w:cs="Times New Roman"/>
                <w:sz w:val="24"/>
                <w:szCs w:val="24"/>
                <w:lang w:val="en-GB"/>
              </w:rPr>
            </w:pPr>
            <w:r w:rsidRPr="00AF78CA">
              <w:rPr>
                <w:rFonts w:ascii="Times New Roman" w:hAnsi="Times New Roman" w:cs="Times New Roman"/>
                <w:sz w:val="24"/>
                <w:szCs w:val="24"/>
                <w:lang w:val="en-GB"/>
              </w:rPr>
              <w:t>0,01</w:t>
            </w:r>
          </w:p>
        </w:tc>
      </w:tr>
      <w:tr w:rsidR="001D121B" w:rsidRPr="00AF78CA" w:rsidTr="001D121B">
        <w:trPr>
          <w:trHeight w:val="260"/>
        </w:trPr>
        <w:tc>
          <w:tcPr>
            <w:tcW w:w="2622" w:type="dxa"/>
            <w:tcBorders>
              <w:top w:val="nil"/>
              <w:bottom w:val="single" w:sz="4" w:space="0" w:color="auto"/>
              <w:right w:val="nil"/>
            </w:tcBorders>
            <w:vAlign w:val="center"/>
          </w:tcPr>
          <w:p w:rsidR="001D121B" w:rsidRPr="00AF78CA" w:rsidRDefault="001D121B" w:rsidP="001D121B">
            <w:pPr>
              <w:keepNext/>
              <w:spacing w:line="240" w:lineRule="auto"/>
              <w:rPr>
                <w:rFonts w:ascii="Times New Roman" w:hAnsi="Times New Roman" w:cs="Times New Roman"/>
                <w:sz w:val="24"/>
                <w:szCs w:val="24"/>
                <w:vertAlign w:val="superscript"/>
                <w:lang w:val="en-GB"/>
              </w:rPr>
            </w:pPr>
            <w:r w:rsidRPr="00AF78CA">
              <w:rPr>
                <w:rFonts w:ascii="Times New Roman" w:hAnsi="Times New Roman" w:cs="Times New Roman"/>
                <w:sz w:val="24"/>
                <w:szCs w:val="24"/>
                <w:lang w:val="en-GB"/>
              </w:rPr>
              <w:t>PCDDs/Fs</w:t>
            </w:r>
            <w:r w:rsidRPr="00AF78CA">
              <w:rPr>
                <w:rFonts w:ascii="Times New Roman" w:hAnsi="Times New Roman" w:cs="Times New Roman"/>
                <w:sz w:val="24"/>
                <w:szCs w:val="24"/>
                <w:vertAlign w:val="superscript"/>
                <w:lang w:val="en-GB"/>
              </w:rPr>
              <w:t>4,5)</w:t>
            </w:r>
          </w:p>
        </w:tc>
        <w:tc>
          <w:tcPr>
            <w:tcW w:w="6520" w:type="dxa"/>
            <w:tcBorders>
              <w:top w:val="nil"/>
              <w:left w:val="nil"/>
              <w:bottom w:val="single" w:sz="4" w:space="0" w:color="auto"/>
            </w:tcBorders>
            <w:vAlign w:val="center"/>
          </w:tcPr>
          <w:p w:rsidR="001D121B" w:rsidRPr="00AF78CA" w:rsidRDefault="001D121B" w:rsidP="001D121B">
            <w:pPr>
              <w:keepNext/>
              <w:spacing w:line="240" w:lineRule="auto"/>
              <w:ind w:right="72"/>
              <w:jc w:val="center"/>
              <w:rPr>
                <w:rFonts w:ascii="Times New Roman" w:hAnsi="Times New Roman" w:cs="Times New Roman"/>
                <w:sz w:val="24"/>
                <w:szCs w:val="24"/>
                <w:lang w:val="en-GB"/>
              </w:rPr>
            </w:pPr>
            <w:r w:rsidRPr="00AF78CA">
              <w:rPr>
                <w:rFonts w:ascii="Times New Roman" w:hAnsi="Times New Roman" w:cs="Times New Roman"/>
                <w:sz w:val="24"/>
                <w:szCs w:val="24"/>
                <w:lang w:val="en-GB"/>
              </w:rPr>
              <w:t>1.0*</w:t>
            </w:r>
          </w:p>
        </w:tc>
      </w:tr>
      <w:tr w:rsidR="001D121B" w:rsidRPr="00AF78CA" w:rsidTr="001D121B">
        <w:trPr>
          <w:trHeight w:val="260"/>
        </w:trPr>
        <w:tc>
          <w:tcPr>
            <w:tcW w:w="9142" w:type="dxa"/>
            <w:gridSpan w:val="2"/>
            <w:tcBorders>
              <w:bottom w:val="nil"/>
            </w:tcBorders>
            <w:shd w:val="clear" w:color="000000" w:fill="FFFFFF"/>
            <w:vAlign w:val="center"/>
          </w:tcPr>
          <w:p w:rsidR="001D121B" w:rsidRPr="00AF78CA" w:rsidRDefault="001D121B" w:rsidP="001D121B">
            <w:pPr>
              <w:keepNext/>
              <w:spacing w:line="240" w:lineRule="auto"/>
              <w:ind w:right="72"/>
              <w:rPr>
                <w:rFonts w:ascii="Times New Roman" w:hAnsi="Times New Roman" w:cs="Times New Roman"/>
                <w:sz w:val="24"/>
                <w:szCs w:val="24"/>
                <w:lang w:val="en-GB"/>
              </w:rPr>
            </w:pPr>
            <w:proofErr w:type="spellStart"/>
            <w:r>
              <w:rPr>
                <w:rFonts w:ascii="Times New Roman" w:hAnsi="Times New Roman" w:cs="Times New Roman"/>
                <w:sz w:val="24"/>
                <w:szCs w:val="24"/>
                <w:lang w:val="en-GB"/>
              </w:rPr>
              <w:t>Ropné</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znečištění</w:t>
            </w:r>
            <w:proofErr w:type="spellEnd"/>
          </w:p>
        </w:tc>
      </w:tr>
      <w:tr w:rsidR="001D121B" w:rsidRPr="00AF78CA" w:rsidTr="001D121B">
        <w:trPr>
          <w:trHeight w:val="260"/>
        </w:trPr>
        <w:tc>
          <w:tcPr>
            <w:tcW w:w="2622" w:type="dxa"/>
            <w:tcBorders>
              <w:top w:val="nil"/>
              <w:right w:val="nil"/>
            </w:tcBorders>
            <w:vAlign w:val="center"/>
          </w:tcPr>
          <w:p w:rsidR="001D121B" w:rsidRPr="00AF78CA" w:rsidRDefault="001D121B" w:rsidP="001D121B">
            <w:pPr>
              <w:spacing w:line="240" w:lineRule="auto"/>
              <w:rPr>
                <w:rFonts w:ascii="Times New Roman" w:hAnsi="Times New Roman" w:cs="Times New Roman"/>
                <w:sz w:val="24"/>
                <w:szCs w:val="24"/>
                <w:lang w:val="en-GB"/>
              </w:rPr>
            </w:pPr>
            <w:proofErr w:type="spellStart"/>
            <w:r>
              <w:rPr>
                <w:rFonts w:ascii="Times New Roman" w:hAnsi="Times New Roman" w:cs="Times New Roman"/>
                <w:sz w:val="24"/>
                <w:szCs w:val="24"/>
                <w:lang w:val="en-GB"/>
              </w:rPr>
              <w:t>Uhlovodíky</w:t>
            </w:r>
            <w:proofErr w:type="spellEnd"/>
            <w:r w:rsidRPr="00AF78CA">
              <w:rPr>
                <w:rFonts w:ascii="Times New Roman" w:hAnsi="Times New Roman" w:cs="Times New Roman"/>
                <w:sz w:val="24"/>
                <w:szCs w:val="24"/>
                <w:lang w:val="en-GB"/>
              </w:rPr>
              <w:t xml:space="preserve"> C10 – C40</w:t>
            </w:r>
            <w:r w:rsidRPr="00AF78CA">
              <w:rPr>
                <w:rFonts w:ascii="Times New Roman" w:hAnsi="Times New Roman" w:cs="Times New Roman"/>
                <w:sz w:val="24"/>
                <w:szCs w:val="24"/>
                <w:vertAlign w:val="superscript"/>
                <w:lang w:val="en-GB"/>
              </w:rPr>
              <w:t>4)</w:t>
            </w:r>
            <w:r w:rsidRPr="00AF78CA">
              <w:rPr>
                <w:rFonts w:ascii="Times New Roman" w:hAnsi="Times New Roman" w:cs="Times New Roman"/>
                <w:sz w:val="24"/>
                <w:szCs w:val="24"/>
                <w:lang w:val="en-GB"/>
              </w:rPr>
              <w:t xml:space="preserve"> </w:t>
            </w:r>
          </w:p>
        </w:tc>
        <w:tc>
          <w:tcPr>
            <w:tcW w:w="6520" w:type="dxa"/>
            <w:tcBorders>
              <w:top w:val="nil"/>
              <w:left w:val="nil"/>
            </w:tcBorders>
            <w:vAlign w:val="center"/>
          </w:tcPr>
          <w:p w:rsidR="001D121B" w:rsidRPr="00AF78CA" w:rsidRDefault="001D121B" w:rsidP="001D121B">
            <w:pPr>
              <w:spacing w:line="240" w:lineRule="auto"/>
              <w:ind w:right="72"/>
              <w:jc w:val="center"/>
              <w:rPr>
                <w:rFonts w:ascii="Times New Roman" w:hAnsi="Times New Roman" w:cs="Times New Roman"/>
                <w:sz w:val="24"/>
                <w:szCs w:val="24"/>
                <w:lang w:val="en-GB"/>
              </w:rPr>
            </w:pPr>
            <w:r w:rsidRPr="00AF78CA">
              <w:rPr>
                <w:rFonts w:ascii="Times New Roman" w:hAnsi="Times New Roman" w:cs="Times New Roman"/>
                <w:sz w:val="24"/>
                <w:szCs w:val="24"/>
                <w:lang w:val="en-GB"/>
              </w:rPr>
              <w:t>100</w:t>
            </w:r>
          </w:p>
        </w:tc>
      </w:tr>
    </w:tbl>
    <w:p w:rsidR="001D121B" w:rsidRPr="00AF78CA" w:rsidRDefault="001D121B" w:rsidP="001D121B">
      <w:pPr>
        <w:spacing w:after="0" w:line="240" w:lineRule="auto"/>
        <w:ind w:left="357"/>
        <w:rPr>
          <w:rFonts w:ascii="Times New Roman" w:hAnsi="Times New Roman" w:cs="Times New Roman"/>
          <w:sz w:val="24"/>
          <w:szCs w:val="24"/>
        </w:rPr>
      </w:pPr>
      <w:r w:rsidRPr="00AF78CA">
        <w:rPr>
          <w:rFonts w:ascii="Times New Roman" w:hAnsi="Times New Roman" w:cs="Times New Roman"/>
          <w:sz w:val="24"/>
          <w:szCs w:val="24"/>
          <w:vertAlign w:val="superscript"/>
        </w:rPr>
        <w:t>1)</w:t>
      </w:r>
      <w:r w:rsidRPr="00AF78CA">
        <w:rPr>
          <w:rFonts w:ascii="Times New Roman" w:hAnsi="Times New Roman" w:cs="Times New Roman"/>
          <w:sz w:val="24"/>
          <w:szCs w:val="24"/>
        </w:rPr>
        <w:t xml:space="preserve">Σ PAHS – </w:t>
      </w:r>
      <w:proofErr w:type="spellStart"/>
      <w:r w:rsidRPr="00AF78CA">
        <w:rPr>
          <w:rFonts w:ascii="Times New Roman" w:hAnsi="Times New Roman" w:cs="Times New Roman"/>
          <w:sz w:val="24"/>
          <w:szCs w:val="24"/>
        </w:rPr>
        <w:t>polycyclické</w:t>
      </w:r>
      <w:proofErr w:type="spellEnd"/>
      <w:r w:rsidRPr="00AF78CA">
        <w:rPr>
          <w:rFonts w:ascii="Times New Roman" w:hAnsi="Times New Roman" w:cs="Times New Roman"/>
          <w:sz w:val="24"/>
          <w:szCs w:val="24"/>
        </w:rPr>
        <w:t xml:space="preserve"> aromatické uhlovodíky (anthracen, </w:t>
      </w:r>
      <w:proofErr w:type="spellStart"/>
      <w:proofErr w:type="gramStart"/>
      <w:r w:rsidRPr="00AF78CA">
        <w:rPr>
          <w:rFonts w:ascii="Times New Roman" w:hAnsi="Times New Roman" w:cs="Times New Roman"/>
          <w:sz w:val="24"/>
          <w:szCs w:val="24"/>
        </w:rPr>
        <w:t>benzo</w:t>
      </w:r>
      <w:proofErr w:type="spellEnd"/>
      <w:r w:rsidRPr="00AF78CA">
        <w:rPr>
          <w:rFonts w:ascii="Times New Roman" w:hAnsi="Times New Roman" w:cs="Times New Roman"/>
          <w:sz w:val="24"/>
          <w:szCs w:val="24"/>
        </w:rPr>
        <w:t>(a)anthracen</w:t>
      </w:r>
      <w:proofErr w:type="gramEnd"/>
      <w:r w:rsidRPr="00AF78CA">
        <w:rPr>
          <w:rFonts w:ascii="Times New Roman" w:hAnsi="Times New Roman" w:cs="Times New Roman"/>
          <w:sz w:val="24"/>
          <w:szCs w:val="24"/>
        </w:rPr>
        <w:t xml:space="preserve">, </w:t>
      </w:r>
      <w:proofErr w:type="spellStart"/>
      <w:r w:rsidRPr="00AF78CA">
        <w:rPr>
          <w:rFonts w:ascii="Times New Roman" w:hAnsi="Times New Roman" w:cs="Times New Roman"/>
          <w:sz w:val="24"/>
          <w:szCs w:val="24"/>
        </w:rPr>
        <w:t>benzo</w:t>
      </w:r>
      <w:proofErr w:type="spellEnd"/>
      <w:r w:rsidRPr="00AF78CA">
        <w:rPr>
          <w:rFonts w:ascii="Times New Roman" w:hAnsi="Times New Roman" w:cs="Times New Roman"/>
          <w:sz w:val="24"/>
          <w:szCs w:val="24"/>
        </w:rPr>
        <w:t>(b)</w:t>
      </w:r>
      <w:proofErr w:type="spellStart"/>
      <w:r w:rsidRPr="00AF78CA">
        <w:rPr>
          <w:rFonts w:ascii="Times New Roman" w:hAnsi="Times New Roman" w:cs="Times New Roman"/>
          <w:sz w:val="24"/>
          <w:szCs w:val="24"/>
        </w:rPr>
        <w:t>fluoranthen</w:t>
      </w:r>
      <w:proofErr w:type="spellEnd"/>
      <w:r w:rsidRPr="00AF78CA">
        <w:rPr>
          <w:rFonts w:ascii="Times New Roman" w:hAnsi="Times New Roman" w:cs="Times New Roman"/>
          <w:sz w:val="24"/>
          <w:szCs w:val="24"/>
        </w:rPr>
        <w:t xml:space="preserve">, </w:t>
      </w:r>
      <w:proofErr w:type="spellStart"/>
      <w:r w:rsidRPr="00AF78CA">
        <w:rPr>
          <w:rFonts w:ascii="Times New Roman" w:hAnsi="Times New Roman" w:cs="Times New Roman"/>
          <w:sz w:val="24"/>
          <w:szCs w:val="24"/>
        </w:rPr>
        <w:t>benzo</w:t>
      </w:r>
      <w:proofErr w:type="spellEnd"/>
      <w:r w:rsidRPr="00AF78CA">
        <w:rPr>
          <w:rFonts w:ascii="Times New Roman" w:hAnsi="Times New Roman" w:cs="Times New Roman"/>
          <w:sz w:val="24"/>
          <w:szCs w:val="24"/>
        </w:rPr>
        <w:t>(k)</w:t>
      </w:r>
      <w:proofErr w:type="spellStart"/>
      <w:r w:rsidRPr="00AF78CA">
        <w:rPr>
          <w:rFonts w:ascii="Times New Roman" w:hAnsi="Times New Roman" w:cs="Times New Roman"/>
          <w:sz w:val="24"/>
          <w:szCs w:val="24"/>
        </w:rPr>
        <w:t>fluoranthen</w:t>
      </w:r>
      <w:proofErr w:type="spellEnd"/>
      <w:r w:rsidRPr="00AF78CA">
        <w:rPr>
          <w:rFonts w:ascii="Times New Roman" w:hAnsi="Times New Roman" w:cs="Times New Roman"/>
          <w:sz w:val="24"/>
          <w:szCs w:val="24"/>
        </w:rPr>
        <w:t xml:space="preserve">, </w:t>
      </w:r>
      <w:proofErr w:type="spellStart"/>
      <w:r w:rsidRPr="00AF78CA">
        <w:rPr>
          <w:rFonts w:ascii="Times New Roman" w:hAnsi="Times New Roman" w:cs="Times New Roman"/>
          <w:sz w:val="24"/>
          <w:szCs w:val="24"/>
        </w:rPr>
        <w:t>benzo</w:t>
      </w:r>
      <w:proofErr w:type="spellEnd"/>
      <w:r w:rsidRPr="00AF78CA">
        <w:rPr>
          <w:rFonts w:ascii="Times New Roman" w:hAnsi="Times New Roman" w:cs="Times New Roman"/>
          <w:sz w:val="24"/>
          <w:szCs w:val="24"/>
        </w:rPr>
        <w:t xml:space="preserve">(a)pyren, </w:t>
      </w:r>
      <w:proofErr w:type="spellStart"/>
      <w:r w:rsidRPr="00AF78CA">
        <w:rPr>
          <w:rFonts w:ascii="Times New Roman" w:hAnsi="Times New Roman" w:cs="Times New Roman"/>
          <w:sz w:val="24"/>
          <w:szCs w:val="24"/>
        </w:rPr>
        <w:t>benzo</w:t>
      </w:r>
      <w:proofErr w:type="spellEnd"/>
      <w:r w:rsidRPr="00AF78CA">
        <w:rPr>
          <w:rFonts w:ascii="Times New Roman" w:hAnsi="Times New Roman" w:cs="Times New Roman"/>
          <w:sz w:val="24"/>
          <w:szCs w:val="24"/>
        </w:rPr>
        <w:t>(</w:t>
      </w:r>
      <w:proofErr w:type="spellStart"/>
      <w:r w:rsidRPr="00AF78CA">
        <w:rPr>
          <w:rFonts w:ascii="Times New Roman" w:hAnsi="Times New Roman" w:cs="Times New Roman"/>
          <w:sz w:val="24"/>
          <w:szCs w:val="24"/>
        </w:rPr>
        <w:t>ghi</w:t>
      </w:r>
      <w:proofErr w:type="spellEnd"/>
      <w:r w:rsidRPr="00AF78CA">
        <w:rPr>
          <w:rFonts w:ascii="Times New Roman" w:hAnsi="Times New Roman" w:cs="Times New Roman"/>
          <w:sz w:val="24"/>
          <w:szCs w:val="24"/>
        </w:rPr>
        <w:t>)</w:t>
      </w:r>
      <w:proofErr w:type="spellStart"/>
      <w:r w:rsidRPr="00AF78CA">
        <w:rPr>
          <w:rFonts w:ascii="Times New Roman" w:hAnsi="Times New Roman" w:cs="Times New Roman"/>
          <w:sz w:val="24"/>
          <w:szCs w:val="24"/>
        </w:rPr>
        <w:t>perylen</w:t>
      </w:r>
      <w:proofErr w:type="spellEnd"/>
      <w:r w:rsidRPr="00AF78CA">
        <w:rPr>
          <w:rFonts w:ascii="Times New Roman" w:hAnsi="Times New Roman" w:cs="Times New Roman"/>
          <w:sz w:val="24"/>
          <w:szCs w:val="24"/>
        </w:rPr>
        <w:t xml:space="preserve">, </w:t>
      </w:r>
      <w:proofErr w:type="spellStart"/>
      <w:r w:rsidRPr="00AF78CA">
        <w:rPr>
          <w:rFonts w:ascii="Times New Roman" w:hAnsi="Times New Roman" w:cs="Times New Roman"/>
          <w:sz w:val="24"/>
          <w:szCs w:val="24"/>
        </w:rPr>
        <w:t>fenantren</w:t>
      </w:r>
      <w:proofErr w:type="spellEnd"/>
      <w:r w:rsidRPr="00AF78CA">
        <w:rPr>
          <w:rFonts w:ascii="Times New Roman" w:hAnsi="Times New Roman" w:cs="Times New Roman"/>
          <w:sz w:val="24"/>
          <w:szCs w:val="24"/>
        </w:rPr>
        <w:t xml:space="preserve">, </w:t>
      </w:r>
      <w:proofErr w:type="spellStart"/>
      <w:r w:rsidRPr="00AF78CA">
        <w:rPr>
          <w:rFonts w:ascii="Times New Roman" w:hAnsi="Times New Roman" w:cs="Times New Roman"/>
          <w:sz w:val="24"/>
          <w:szCs w:val="24"/>
        </w:rPr>
        <w:t>fluoranten</w:t>
      </w:r>
      <w:proofErr w:type="spellEnd"/>
      <w:r w:rsidRPr="00AF78CA">
        <w:rPr>
          <w:rFonts w:ascii="Times New Roman" w:hAnsi="Times New Roman" w:cs="Times New Roman"/>
          <w:sz w:val="24"/>
          <w:szCs w:val="24"/>
        </w:rPr>
        <w:t xml:space="preserve">, </w:t>
      </w:r>
      <w:proofErr w:type="spellStart"/>
      <w:r w:rsidRPr="00AF78CA">
        <w:rPr>
          <w:rFonts w:ascii="Times New Roman" w:hAnsi="Times New Roman" w:cs="Times New Roman"/>
          <w:sz w:val="24"/>
          <w:szCs w:val="24"/>
        </w:rPr>
        <w:t>chrysen</w:t>
      </w:r>
      <w:proofErr w:type="spellEnd"/>
      <w:r w:rsidRPr="00AF78CA">
        <w:rPr>
          <w:rFonts w:ascii="Times New Roman" w:hAnsi="Times New Roman" w:cs="Times New Roman"/>
          <w:sz w:val="24"/>
          <w:szCs w:val="24"/>
        </w:rPr>
        <w:t xml:space="preserve">, </w:t>
      </w:r>
      <w:proofErr w:type="spellStart"/>
      <w:r w:rsidRPr="00AF78CA">
        <w:rPr>
          <w:rFonts w:ascii="Times New Roman" w:hAnsi="Times New Roman" w:cs="Times New Roman"/>
          <w:sz w:val="24"/>
          <w:szCs w:val="24"/>
        </w:rPr>
        <w:t>indeno</w:t>
      </w:r>
      <w:proofErr w:type="spellEnd"/>
      <w:r w:rsidRPr="00AF78CA">
        <w:rPr>
          <w:rFonts w:ascii="Times New Roman" w:hAnsi="Times New Roman" w:cs="Times New Roman"/>
          <w:sz w:val="24"/>
          <w:szCs w:val="24"/>
        </w:rPr>
        <w:t>(1,2,3-cd)pyren, naftalen, pyren)</w:t>
      </w:r>
    </w:p>
    <w:p w:rsidR="001D121B" w:rsidRPr="00AF78CA" w:rsidRDefault="001D121B" w:rsidP="001D121B">
      <w:pPr>
        <w:spacing w:after="0" w:line="240" w:lineRule="auto"/>
        <w:ind w:left="357"/>
        <w:rPr>
          <w:rFonts w:ascii="Times New Roman" w:hAnsi="Times New Roman" w:cs="Times New Roman"/>
          <w:sz w:val="24"/>
          <w:szCs w:val="24"/>
        </w:rPr>
      </w:pPr>
      <w:r w:rsidRPr="00AF78CA">
        <w:rPr>
          <w:rFonts w:ascii="Times New Roman" w:hAnsi="Times New Roman" w:cs="Times New Roman"/>
          <w:sz w:val="24"/>
          <w:szCs w:val="24"/>
          <w:vertAlign w:val="superscript"/>
        </w:rPr>
        <w:t>2)</w:t>
      </w:r>
      <w:r w:rsidRPr="00AF78CA">
        <w:rPr>
          <w:rFonts w:ascii="Times New Roman" w:hAnsi="Times New Roman" w:cs="Times New Roman"/>
          <w:sz w:val="24"/>
          <w:szCs w:val="24"/>
        </w:rPr>
        <w:t xml:space="preserve">Σ PCB </w:t>
      </w:r>
      <w:proofErr w:type="spellStart"/>
      <w:r w:rsidRPr="00AF78CA">
        <w:rPr>
          <w:rFonts w:ascii="Times New Roman" w:hAnsi="Times New Roman" w:cs="Times New Roman"/>
          <w:sz w:val="24"/>
          <w:szCs w:val="24"/>
        </w:rPr>
        <w:t>kongenerů</w:t>
      </w:r>
      <w:proofErr w:type="spellEnd"/>
      <w:r w:rsidRPr="00AF78CA">
        <w:rPr>
          <w:rFonts w:ascii="Times New Roman" w:hAnsi="Times New Roman" w:cs="Times New Roman"/>
          <w:sz w:val="24"/>
          <w:szCs w:val="24"/>
        </w:rPr>
        <w:t xml:space="preserve"> – 28+52+101+118+138+153+180</w:t>
      </w:r>
    </w:p>
    <w:p w:rsidR="001D121B" w:rsidRPr="00AF78CA" w:rsidRDefault="001D121B" w:rsidP="001D121B">
      <w:pPr>
        <w:spacing w:after="0" w:line="240" w:lineRule="auto"/>
        <w:ind w:left="357"/>
        <w:rPr>
          <w:rFonts w:ascii="Times New Roman" w:hAnsi="Times New Roman" w:cs="Times New Roman"/>
          <w:sz w:val="24"/>
          <w:szCs w:val="24"/>
        </w:rPr>
      </w:pPr>
      <w:r w:rsidRPr="00AF78CA">
        <w:rPr>
          <w:rFonts w:ascii="Times New Roman" w:hAnsi="Times New Roman" w:cs="Times New Roman"/>
          <w:sz w:val="24"/>
          <w:szCs w:val="24"/>
          <w:vertAlign w:val="superscript"/>
        </w:rPr>
        <w:t>3)</w:t>
      </w:r>
      <w:r w:rsidRPr="00AF78CA">
        <w:rPr>
          <w:rFonts w:ascii="Times New Roman" w:hAnsi="Times New Roman" w:cs="Times New Roman"/>
          <w:sz w:val="24"/>
          <w:szCs w:val="24"/>
        </w:rPr>
        <w:t>Σ DDT, DDE, DDD</w:t>
      </w:r>
    </w:p>
    <w:p w:rsidR="001D121B" w:rsidRPr="00AF78CA" w:rsidRDefault="001D121B" w:rsidP="001D121B">
      <w:pPr>
        <w:spacing w:after="0" w:line="240" w:lineRule="auto"/>
        <w:ind w:left="357"/>
        <w:rPr>
          <w:rFonts w:ascii="Times New Roman" w:hAnsi="Times New Roman" w:cs="Times New Roman"/>
          <w:sz w:val="24"/>
          <w:szCs w:val="24"/>
        </w:rPr>
      </w:pPr>
      <w:r w:rsidRPr="00AF78CA">
        <w:rPr>
          <w:rFonts w:ascii="Times New Roman" w:hAnsi="Times New Roman" w:cs="Times New Roman"/>
          <w:sz w:val="24"/>
          <w:szCs w:val="24"/>
          <w:vertAlign w:val="superscript"/>
        </w:rPr>
        <w:t>4)</w:t>
      </w:r>
      <w:r w:rsidRPr="00AF78CA">
        <w:rPr>
          <w:rFonts w:ascii="Times New Roman" w:hAnsi="Times New Roman" w:cs="Times New Roman"/>
          <w:sz w:val="24"/>
          <w:szCs w:val="24"/>
        </w:rPr>
        <w:t>HCB , HCH (Σ α+β+γ), PCDD/F a uhlovodíky C10-C40 se analyzují pouze při důvodném podezření z jejich výskytu (např. předchozí znečištění půdy z výroby)</w:t>
      </w:r>
    </w:p>
    <w:p w:rsidR="001D121B" w:rsidRPr="00AF78CA" w:rsidRDefault="001D121B" w:rsidP="001D121B">
      <w:pPr>
        <w:spacing w:line="240" w:lineRule="auto"/>
        <w:ind w:left="360"/>
        <w:rPr>
          <w:rFonts w:ascii="Times New Roman" w:hAnsi="Times New Roman" w:cs="Times New Roman"/>
          <w:sz w:val="24"/>
          <w:szCs w:val="24"/>
        </w:rPr>
      </w:pPr>
      <w:r w:rsidRPr="00AF78CA">
        <w:rPr>
          <w:rFonts w:ascii="Times New Roman" w:hAnsi="Times New Roman" w:cs="Times New Roman"/>
          <w:sz w:val="24"/>
          <w:szCs w:val="24"/>
          <w:vertAlign w:val="superscript"/>
        </w:rPr>
        <w:t>5)</w:t>
      </w:r>
      <w:r w:rsidRPr="00AF78CA">
        <w:rPr>
          <w:rFonts w:ascii="Times New Roman" w:hAnsi="Times New Roman" w:cs="Times New Roman"/>
          <w:sz w:val="24"/>
          <w:szCs w:val="24"/>
        </w:rPr>
        <w:t>Hodnota mezinárodního toxického ekvivalentu I-TEQ PCCD/F (</w:t>
      </w:r>
      <w:proofErr w:type="spellStart"/>
      <w:r w:rsidRPr="00AF78CA">
        <w:rPr>
          <w:rFonts w:ascii="Times New Roman" w:hAnsi="Times New Roman" w:cs="Times New Roman"/>
          <w:sz w:val="24"/>
          <w:szCs w:val="24"/>
        </w:rPr>
        <w:t>ng</w:t>
      </w:r>
      <w:proofErr w:type="spellEnd"/>
      <w:r w:rsidRPr="00AF78CA">
        <w:rPr>
          <w:rFonts w:ascii="Times New Roman" w:hAnsi="Times New Roman" w:cs="Times New Roman"/>
          <w:sz w:val="24"/>
          <w:szCs w:val="24"/>
        </w:rPr>
        <w:t>/kg sušiny)</w:t>
      </w:r>
    </w:p>
    <w:p w:rsidR="001D121B" w:rsidRPr="00AF78CA" w:rsidRDefault="001D121B" w:rsidP="001D121B">
      <w:pPr>
        <w:spacing w:before="120" w:after="120" w:line="240" w:lineRule="auto"/>
        <w:rPr>
          <w:rFonts w:ascii="Times New Roman" w:hAnsi="Times New Roman" w:cs="Times New Roman"/>
          <w:sz w:val="24"/>
          <w:szCs w:val="24"/>
        </w:rPr>
      </w:pPr>
      <w:r w:rsidRPr="00AF78CA">
        <w:rPr>
          <w:rFonts w:ascii="Times New Roman" w:hAnsi="Times New Roman" w:cs="Times New Roman"/>
          <w:sz w:val="24"/>
          <w:szCs w:val="24"/>
        </w:rPr>
        <w:t xml:space="preserve">Z hlediska interpretace překročení preventivního limitu, stanoveného vyhláškou je postupováno v souladu se zákonem č. 41/2015 tak, že je zakázána aplikace kalů ČOV a sedimentů na zemědělskou půdu. </w:t>
      </w:r>
    </w:p>
    <w:p w:rsidR="001D121B" w:rsidRPr="00AF78CA" w:rsidRDefault="001D121B" w:rsidP="001D121B">
      <w:pPr>
        <w:spacing w:after="120" w:line="240" w:lineRule="auto"/>
        <w:rPr>
          <w:rFonts w:ascii="Times New Roman" w:hAnsi="Times New Roman" w:cs="Times New Roman"/>
          <w:sz w:val="24"/>
          <w:szCs w:val="24"/>
        </w:rPr>
      </w:pPr>
      <w:r w:rsidRPr="00AF78CA">
        <w:rPr>
          <w:rFonts w:ascii="Times New Roman" w:hAnsi="Times New Roman" w:cs="Times New Roman"/>
          <w:sz w:val="24"/>
          <w:szCs w:val="24"/>
        </w:rPr>
        <w:t>Indikační hodnoty byly stanoveny v případě rizikových prvků jako hodnoty indikující možné překročení kritické zátěže jejich obsahů v rostlinách (plodinách) z pohledu přestupu do potravního řetězce (zvýšená zátěž potravních řetězců) a omezení růstu rostlin (fytotoxické působení rizikových prvků v rostlinách omezující tvorbu výnosu zemědělských plodin). Hodnoty byly odvozeny z nádobových a terénních experimentů (Němeček et al.</w:t>
      </w:r>
      <w:r w:rsidR="001B0501">
        <w:rPr>
          <w:rFonts w:ascii="Times New Roman" w:hAnsi="Times New Roman" w:cs="Times New Roman"/>
          <w:sz w:val="24"/>
          <w:szCs w:val="24"/>
        </w:rPr>
        <w:t>,</w:t>
      </w:r>
      <w:r w:rsidRPr="00AF78CA">
        <w:rPr>
          <w:rFonts w:ascii="Times New Roman" w:hAnsi="Times New Roman" w:cs="Times New Roman"/>
          <w:sz w:val="24"/>
          <w:szCs w:val="24"/>
        </w:rPr>
        <w:t xml:space="preserve"> 2001) při použití vícerozměrných statistických metod, které hodnotily závislost mobility rizikových prvků na vybraných půdních vlastnostech a jejich přestup do několika testovacích rostlin (ředkvička, triticale, vybrané druhy travin, pícniny na orné půdě). Indikační limit je založen na porovnání celkových (výluh v lučavce královské) a mobilních (výluh v 1M NH</w:t>
      </w:r>
      <w:r w:rsidRPr="00AF78CA">
        <w:rPr>
          <w:rFonts w:ascii="Times New Roman" w:hAnsi="Times New Roman" w:cs="Times New Roman"/>
          <w:sz w:val="24"/>
          <w:szCs w:val="24"/>
          <w:vertAlign w:val="subscript"/>
        </w:rPr>
        <w:t>4</w:t>
      </w:r>
      <w:r w:rsidRPr="00AF78CA">
        <w:rPr>
          <w:rFonts w:ascii="Times New Roman" w:hAnsi="Times New Roman" w:cs="Times New Roman"/>
          <w:sz w:val="24"/>
          <w:szCs w:val="24"/>
        </w:rPr>
        <w:t>NO</w:t>
      </w:r>
      <w:r w:rsidRPr="00AF78CA">
        <w:rPr>
          <w:rFonts w:ascii="Times New Roman" w:hAnsi="Times New Roman" w:cs="Times New Roman"/>
          <w:sz w:val="24"/>
          <w:szCs w:val="24"/>
          <w:vertAlign w:val="subscript"/>
        </w:rPr>
        <w:t>3</w:t>
      </w:r>
      <w:r w:rsidRPr="00AF78CA">
        <w:rPr>
          <w:rFonts w:ascii="Times New Roman" w:hAnsi="Times New Roman" w:cs="Times New Roman"/>
          <w:sz w:val="24"/>
          <w:szCs w:val="24"/>
        </w:rPr>
        <w:t xml:space="preserve">) forem rizikových prvků v půdě. Jako cílové hodnoty byly využity kritické obsahy v rostlinách, stanovené krmivářskými a potravinářskými normami (ohrožení potravního řetězce) a kritické hodnoty fytotoxicity (omezení tvorby výnosu). Celková koncepce indikačních limitů je tak relativně složitá, protože je založena na porovnání dvou typů výluhů a v případě prvků s vysokou závislostí jejich mobility na pH (Cd, Ni, </w:t>
      </w:r>
      <w:proofErr w:type="spellStart"/>
      <w:r w:rsidRPr="00AF78CA">
        <w:rPr>
          <w:rFonts w:ascii="Times New Roman" w:hAnsi="Times New Roman" w:cs="Times New Roman"/>
          <w:sz w:val="24"/>
          <w:szCs w:val="24"/>
        </w:rPr>
        <w:t>Cu</w:t>
      </w:r>
      <w:proofErr w:type="spellEnd"/>
      <w:r w:rsidRPr="00AF78CA">
        <w:rPr>
          <w:rFonts w:ascii="Times New Roman" w:hAnsi="Times New Roman" w:cs="Times New Roman"/>
          <w:sz w:val="24"/>
          <w:szCs w:val="24"/>
        </w:rPr>
        <w:t>) přistupuje navíc členění dle pH půdy. Vyhodnocení je tak složitější, než v případě bývalého znění vyhlášky č. 13/1994 Sb., rovněž interpretace není jednoznačná, protože překročení indikačního limitu znamená statisticky pravděpodobné překročení kritických obsahů v rostlinách (různé druhy rostlin přijímají rizikové prvky s různou intenzitou) a je třeba následně provést testování na konkrétních plodinách, které se na daném pozemku pěstují. Kromě toho přistupuje opatření omezující používání těch typů hnojiv, ve kterých je daný rizikový prvek obsažen ve vysokých koncentracích (např. fosforečná hnojiva s obsahem P</w:t>
      </w:r>
      <w:r w:rsidRPr="00AF78CA">
        <w:rPr>
          <w:rFonts w:ascii="Times New Roman" w:hAnsi="Times New Roman" w:cs="Times New Roman"/>
          <w:sz w:val="24"/>
          <w:szCs w:val="24"/>
          <w:vertAlign w:val="subscript"/>
        </w:rPr>
        <w:t>2</w:t>
      </w:r>
      <w:r w:rsidRPr="00AF78CA">
        <w:rPr>
          <w:rFonts w:ascii="Times New Roman" w:hAnsi="Times New Roman" w:cs="Times New Roman"/>
          <w:sz w:val="24"/>
          <w:szCs w:val="24"/>
        </w:rPr>
        <w:t>O</w:t>
      </w:r>
      <w:r w:rsidRPr="00AF78CA">
        <w:rPr>
          <w:rFonts w:ascii="Times New Roman" w:hAnsi="Times New Roman" w:cs="Times New Roman"/>
          <w:sz w:val="24"/>
          <w:szCs w:val="24"/>
          <w:vertAlign w:val="subscript"/>
        </w:rPr>
        <w:t>5</w:t>
      </w:r>
      <w:r w:rsidRPr="00AF78CA">
        <w:rPr>
          <w:rFonts w:ascii="Times New Roman" w:hAnsi="Times New Roman" w:cs="Times New Roman"/>
          <w:sz w:val="24"/>
          <w:szCs w:val="24"/>
        </w:rPr>
        <w:t xml:space="preserve"> 5% a více na půdách s nadlimitním obsahem Cd). Hodnoty indikačních limitů ohrožení kvality plodin (ohrožení potravního řetězce) jsou uvedeny v tabulce, </w:t>
      </w:r>
      <w:r w:rsidR="00F01851">
        <w:rPr>
          <w:rFonts w:ascii="Times New Roman" w:hAnsi="Times New Roman" w:cs="Times New Roman"/>
          <w:sz w:val="24"/>
          <w:szCs w:val="24"/>
        </w:rPr>
        <w:t xml:space="preserve">stejně jako </w:t>
      </w:r>
      <w:r w:rsidRPr="00AF78CA">
        <w:rPr>
          <w:rFonts w:ascii="Times New Roman" w:hAnsi="Times New Roman" w:cs="Times New Roman"/>
          <w:sz w:val="24"/>
          <w:szCs w:val="24"/>
        </w:rPr>
        <w:t xml:space="preserve">hodnoty indikačních limitů ohrožení tvorby výnosů.  </w:t>
      </w:r>
    </w:p>
    <w:p w:rsidR="001D121B" w:rsidRPr="00AF78CA" w:rsidRDefault="001D121B" w:rsidP="001D121B">
      <w:pPr>
        <w:spacing w:after="120" w:line="240" w:lineRule="auto"/>
        <w:rPr>
          <w:rFonts w:ascii="Times New Roman" w:hAnsi="Times New Roman" w:cs="Times New Roman"/>
          <w:sz w:val="24"/>
          <w:szCs w:val="24"/>
        </w:rPr>
      </w:pPr>
      <w:r w:rsidRPr="00AF78CA">
        <w:rPr>
          <w:rFonts w:ascii="Times New Roman" w:hAnsi="Times New Roman" w:cs="Times New Roman"/>
          <w:sz w:val="24"/>
          <w:szCs w:val="24"/>
        </w:rPr>
        <w:t xml:space="preserve">Jak bylo uvedeno výše, byly vypracovány rovněž indikační limity přímého ohrožení lidského zdraví a zvířat inhalačním, perorální a dermálním příjmem kontaminovaných částic půdy při pohybu na zatížených plochách (týká se především zemědělců při polních pracích a zvířat na pastvě). Limity se týkají vybraných perzistentních organických polutantů a významných </w:t>
      </w:r>
      <w:proofErr w:type="spellStart"/>
      <w:r w:rsidRPr="00AF78CA">
        <w:rPr>
          <w:rFonts w:ascii="Times New Roman" w:hAnsi="Times New Roman" w:cs="Times New Roman"/>
          <w:sz w:val="24"/>
          <w:szCs w:val="24"/>
        </w:rPr>
        <w:t>zootoxicky</w:t>
      </w:r>
      <w:proofErr w:type="spellEnd"/>
      <w:r w:rsidRPr="00AF78CA">
        <w:rPr>
          <w:rFonts w:ascii="Times New Roman" w:hAnsi="Times New Roman" w:cs="Times New Roman"/>
          <w:sz w:val="24"/>
          <w:szCs w:val="24"/>
        </w:rPr>
        <w:t xml:space="preserve"> působících rizikových prvků (As, Cd, </w:t>
      </w:r>
      <w:proofErr w:type="spellStart"/>
      <w:r w:rsidRPr="00AF78CA">
        <w:rPr>
          <w:rFonts w:ascii="Times New Roman" w:hAnsi="Times New Roman" w:cs="Times New Roman"/>
          <w:sz w:val="24"/>
          <w:szCs w:val="24"/>
        </w:rPr>
        <w:t>Pb</w:t>
      </w:r>
      <w:proofErr w:type="spellEnd"/>
      <w:r w:rsidRPr="00AF78CA">
        <w:rPr>
          <w:rFonts w:ascii="Times New Roman" w:hAnsi="Times New Roman" w:cs="Times New Roman"/>
          <w:sz w:val="24"/>
          <w:szCs w:val="24"/>
        </w:rPr>
        <w:t xml:space="preserve">, </w:t>
      </w:r>
      <w:proofErr w:type="spellStart"/>
      <w:r w:rsidRPr="00AF78CA">
        <w:rPr>
          <w:rFonts w:ascii="Times New Roman" w:hAnsi="Times New Roman" w:cs="Times New Roman"/>
          <w:sz w:val="24"/>
          <w:szCs w:val="24"/>
        </w:rPr>
        <w:t>Hg</w:t>
      </w:r>
      <w:proofErr w:type="spellEnd"/>
      <w:r w:rsidRPr="00AF78CA">
        <w:rPr>
          <w:rFonts w:ascii="Times New Roman" w:hAnsi="Times New Roman" w:cs="Times New Roman"/>
          <w:sz w:val="24"/>
          <w:szCs w:val="24"/>
        </w:rPr>
        <w:t>). V případě překročení těchto indikačních limitů musí být na pozemku provedena riziková analýza, respektive následná opatření (zatravnění pozemku, vyjmutí ze ZPF). Intenzita kontaminace je vysoká, nelze ji však vyloučit (zejména v případě POP) například v záplavových zónách po povodních. Hodnoty indikačních limitů přímého ohrožení lidského zdraví pro rizikové prvky jsou uvedeny v </w:t>
      </w:r>
      <w:r w:rsidR="00F01851">
        <w:rPr>
          <w:rFonts w:ascii="Times New Roman" w:hAnsi="Times New Roman" w:cs="Times New Roman"/>
          <w:sz w:val="24"/>
          <w:szCs w:val="24"/>
        </w:rPr>
        <w:t>tabulkách</w:t>
      </w:r>
      <w:r w:rsidRPr="00AF78CA">
        <w:rPr>
          <w:rFonts w:ascii="Times New Roman" w:hAnsi="Times New Roman" w:cs="Times New Roman"/>
          <w:sz w:val="24"/>
          <w:szCs w:val="24"/>
        </w:rPr>
        <w:t>.</w:t>
      </w:r>
    </w:p>
    <w:p w:rsidR="001D121B" w:rsidRPr="00AF78CA" w:rsidRDefault="001D121B" w:rsidP="001D121B">
      <w:pPr>
        <w:spacing w:after="0" w:line="240" w:lineRule="auto"/>
        <w:rPr>
          <w:rFonts w:ascii="Times New Roman" w:hAnsi="Times New Roman" w:cs="Times New Roman"/>
          <w:sz w:val="24"/>
          <w:szCs w:val="24"/>
        </w:rPr>
      </w:pPr>
      <w:r w:rsidRPr="00AF78CA">
        <w:rPr>
          <w:rFonts w:ascii="Times New Roman" w:hAnsi="Times New Roman" w:cs="Times New Roman"/>
          <w:sz w:val="24"/>
          <w:szCs w:val="24"/>
        </w:rPr>
        <w:t>Indikační hodnoty, při jejichž překročení může být ohrožena zdravotní nezávadnost potravin nebo krmiv (mg/kg sušiny) dle vyhlášky MŽP č. 153/2016 Sb.</w:t>
      </w:r>
    </w:p>
    <w:tbl>
      <w:tblPr>
        <w:tblStyle w:val="Mkatabulky"/>
        <w:tblW w:w="0" w:type="auto"/>
        <w:tblInd w:w="108" w:type="dxa"/>
        <w:tblLook w:val="04A0" w:firstRow="1" w:lastRow="0" w:firstColumn="1" w:lastColumn="0" w:noHBand="0" w:noVBand="1"/>
      </w:tblPr>
      <w:tblGrid>
        <w:gridCol w:w="1591"/>
        <w:gridCol w:w="1840"/>
        <w:gridCol w:w="1840"/>
        <w:gridCol w:w="1840"/>
        <w:gridCol w:w="1841"/>
      </w:tblGrid>
      <w:tr w:rsidR="001D121B" w:rsidRPr="00AF78CA" w:rsidTr="001D121B">
        <w:tc>
          <w:tcPr>
            <w:tcW w:w="1591" w:type="dxa"/>
            <w:vMerge w:val="restart"/>
            <w:tcBorders>
              <w:left w:val="single" w:sz="4" w:space="0" w:color="auto"/>
              <w:right w:val="nil"/>
            </w:tcBorders>
          </w:tcPr>
          <w:p w:rsidR="001D121B" w:rsidRPr="00AF78CA" w:rsidRDefault="001D121B" w:rsidP="001D121B">
            <w:pPr>
              <w:jc w:val="center"/>
              <w:rPr>
                <w:sz w:val="24"/>
                <w:szCs w:val="24"/>
                <w:lang w:val="en-GB"/>
              </w:rPr>
            </w:pPr>
            <w:proofErr w:type="spellStart"/>
            <w:r w:rsidRPr="00AF78CA">
              <w:rPr>
                <w:sz w:val="24"/>
                <w:szCs w:val="24"/>
                <w:lang w:val="en-GB"/>
              </w:rPr>
              <w:t>Prvek</w:t>
            </w:r>
            <w:proofErr w:type="spellEnd"/>
          </w:p>
        </w:tc>
        <w:tc>
          <w:tcPr>
            <w:tcW w:w="1840" w:type="dxa"/>
            <w:vMerge w:val="restart"/>
            <w:tcBorders>
              <w:left w:val="nil"/>
              <w:right w:val="nil"/>
            </w:tcBorders>
          </w:tcPr>
          <w:p w:rsidR="001D121B" w:rsidRPr="00AF78CA" w:rsidRDefault="001D121B" w:rsidP="001D121B">
            <w:pPr>
              <w:jc w:val="center"/>
              <w:rPr>
                <w:sz w:val="24"/>
                <w:szCs w:val="24"/>
                <w:lang w:val="en-GB"/>
              </w:rPr>
            </w:pPr>
            <w:proofErr w:type="spellStart"/>
            <w:r w:rsidRPr="00AF78CA">
              <w:rPr>
                <w:sz w:val="24"/>
                <w:szCs w:val="24"/>
                <w:lang w:val="en-GB"/>
              </w:rPr>
              <w:t>Struktura</w:t>
            </w:r>
            <w:proofErr w:type="spellEnd"/>
          </w:p>
        </w:tc>
        <w:tc>
          <w:tcPr>
            <w:tcW w:w="1840" w:type="dxa"/>
            <w:vMerge w:val="restart"/>
            <w:tcBorders>
              <w:left w:val="nil"/>
              <w:right w:val="nil"/>
            </w:tcBorders>
          </w:tcPr>
          <w:p w:rsidR="001D121B" w:rsidRPr="00AF78CA" w:rsidRDefault="001D121B" w:rsidP="001D121B">
            <w:pPr>
              <w:jc w:val="center"/>
              <w:rPr>
                <w:sz w:val="24"/>
                <w:szCs w:val="24"/>
                <w:lang w:val="en-GB"/>
              </w:rPr>
            </w:pPr>
            <w:r w:rsidRPr="00AF78CA">
              <w:rPr>
                <w:sz w:val="24"/>
                <w:szCs w:val="24"/>
                <w:lang w:val="en-GB"/>
              </w:rPr>
              <w:t>pH/CaCl</w:t>
            </w:r>
            <w:r w:rsidRPr="00AF78CA">
              <w:rPr>
                <w:sz w:val="24"/>
                <w:szCs w:val="24"/>
                <w:vertAlign w:val="subscript"/>
                <w:lang w:val="en-GB"/>
              </w:rPr>
              <w:t>2</w:t>
            </w:r>
          </w:p>
        </w:tc>
        <w:tc>
          <w:tcPr>
            <w:tcW w:w="3681" w:type="dxa"/>
            <w:gridSpan w:val="2"/>
            <w:tcBorders>
              <w:left w:val="nil"/>
              <w:right w:val="single" w:sz="4" w:space="0" w:color="auto"/>
            </w:tcBorders>
          </w:tcPr>
          <w:p w:rsidR="001D121B" w:rsidRPr="00AF78CA" w:rsidRDefault="001D121B" w:rsidP="001D121B">
            <w:pPr>
              <w:jc w:val="center"/>
              <w:rPr>
                <w:sz w:val="24"/>
                <w:szCs w:val="24"/>
                <w:lang w:val="en-GB"/>
              </w:rPr>
            </w:pPr>
            <w:proofErr w:type="spellStart"/>
            <w:r w:rsidRPr="00AF78CA">
              <w:rPr>
                <w:sz w:val="24"/>
                <w:szCs w:val="24"/>
                <w:lang w:val="en-GB"/>
              </w:rPr>
              <w:t>Indikační</w:t>
            </w:r>
            <w:proofErr w:type="spellEnd"/>
            <w:r w:rsidRPr="00AF78CA">
              <w:rPr>
                <w:sz w:val="24"/>
                <w:szCs w:val="24"/>
                <w:lang w:val="en-GB"/>
              </w:rPr>
              <w:t xml:space="preserve"> </w:t>
            </w:r>
            <w:proofErr w:type="spellStart"/>
            <w:r w:rsidRPr="00AF78CA">
              <w:rPr>
                <w:sz w:val="24"/>
                <w:szCs w:val="24"/>
                <w:lang w:val="en-GB"/>
              </w:rPr>
              <w:t>hodnota</w:t>
            </w:r>
            <w:proofErr w:type="spellEnd"/>
            <w:r w:rsidRPr="00AF78CA">
              <w:rPr>
                <w:sz w:val="24"/>
                <w:szCs w:val="24"/>
                <w:lang w:val="en-GB"/>
              </w:rPr>
              <w:t xml:space="preserve"> (mg/kg)</w:t>
            </w:r>
          </w:p>
        </w:tc>
      </w:tr>
      <w:tr w:rsidR="001D121B" w:rsidRPr="00AF78CA" w:rsidTr="001D121B">
        <w:tc>
          <w:tcPr>
            <w:tcW w:w="1591" w:type="dxa"/>
            <w:vMerge/>
            <w:tcBorders>
              <w:left w:val="single" w:sz="4" w:space="0" w:color="auto"/>
              <w:right w:val="nil"/>
            </w:tcBorders>
          </w:tcPr>
          <w:p w:rsidR="001D121B" w:rsidRPr="00AF78CA" w:rsidRDefault="001D121B" w:rsidP="001D121B">
            <w:pPr>
              <w:jc w:val="center"/>
              <w:rPr>
                <w:sz w:val="24"/>
                <w:szCs w:val="24"/>
                <w:lang w:val="en-GB"/>
              </w:rPr>
            </w:pPr>
          </w:p>
        </w:tc>
        <w:tc>
          <w:tcPr>
            <w:tcW w:w="1840" w:type="dxa"/>
            <w:vMerge/>
            <w:tcBorders>
              <w:left w:val="nil"/>
              <w:right w:val="nil"/>
            </w:tcBorders>
          </w:tcPr>
          <w:p w:rsidR="001D121B" w:rsidRPr="00AF78CA" w:rsidRDefault="001D121B" w:rsidP="001D121B">
            <w:pPr>
              <w:jc w:val="center"/>
              <w:rPr>
                <w:sz w:val="24"/>
                <w:szCs w:val="24"/>
                <w:lang w:val="en-GB"/>
              </w:rPr>
            </w:pPr>
          </w:p>
        </w:tc>
        <w:tc>
          <w:tcPr>
            <w:tcW w:w="1840" w:type="dxa"/>
            <w:vMerge/>
            <w:tcBorders>
              <w:left w:val="nil"/>
              <w:right w:val="nil"/>
            </w:tcBorders>
          </w:tcPr>
          <w:p w:rsidR="001D121B" w:rsidRPr="00AF78CA" w:rsidRDefault="001D121B" w:rsidP="001D121B">
            <w:pPr>
              <w:jc w:val="center"/>
              <w:rPr>
                <w:sz w:val="24"/>
                <w:szCs w:val="24"/>
                <w:lang w:val="en-GB"/>
              </w:rPr>
            </w:pPr>
          </w:p>
        </w:tc>
        <w:tc>
          <w:tcPr>
            <w:tcW w:w="1840" w:type="dxa"/>
            <w:tcBorders>
              <w:left w:val="nil"/>
              <w:right w:val="nil"/>
            </w:tcBorders>
          </w:tcPr>
          <w:p w:rsidR="001D121B" w:rsidRPr="00AF78CA" w:rsidRDefault="00451EBA" w:rsidP="001D121B">
            <w:pPr>
              <w:jc w:val="center"/>
              <w:rPr>
                <w:sz w:val="24"/>
                <w:szCs w:val="24"/>
                <w:lang w:val="en-GB"/>
              </w:rPr>
            </w:pPr>
            <w:proofErr w:type="spellStart"/>
            <w:r>
              <w:rPr>
                <w:sz w:val="24"/>
                <w:szCs w:val="24"/>
                <w:lang w:val="en-GB"/>
              </w:rPr>
              <w:t>lučavka</w:t>
            </w:r>
            <w:proofErr w:type="spellEnd"/>
          </w:p>
        </w:tc>
        <w:tc>
          <w:tcPr>
            <w:tcW w:w="1841" w:type="dxa"/>
            <w:tcBorders>
              <w:left w:val="nil"/>
              <w:right w:val="single" w:sz="4" w:space="0" w:color="auto"/>
            </w:tcBorders>
          </w:tcPr>
          <w:p w:rsidR="001D121B" w:rsidRPr="00AF78CA" w:rsidRDefault="001D121B" w:rsidP="001D121B">
            <w:pPr>
              <w:jc w:val="center"/>
              <w:rPr>
                <w:sz w:val="24"/>
                <w:szCs w:val="24"/>
                <w:lang w:val="en-GB"/>
              </w:rPr>
            </w:pPr>
            <w:r w:rsidRPr="00AF78CA">
              <w:rPr>
                <w:sz w:val="24"/>
                <w:szCs w:val="24"/>
                <w:lang w:val="en-GB"/>
              </w:rPr>
              <w:t>1mol/L NH</w:t>
            </w:r>
            <w:r w:rsidRPr="00AF78CA">
              <w:rPr>
                <w:sz w:val="24"/>
                <w:szCs w:val="24"/>
                <w:vertAlign w:val="subscript"/>
                <w:lang w:val="en-GB"/>
              </w:rPr>
              <w:t>4</w:t>
            </w:r>
            <w:r w:rsidRPr="00AF78CA">
              <w:rPr>
                <w:sz w:val="24"/>
                <w:szCs w:val="24"/>
                <w:lang w:val="en-GB"/>
              </w:rPr>
              <w:t>NO</w:t>
            </w:r>
            <w:r w:rsidRPr="00AF78CA">
              <w:rPr>
                <w:sz w:val="24"/>
                <w:szCs w:val="24"/>
                <w:vertAlign w:val="subscript"/>
                <w:lang w:val="en-GB"/>
              </w:rPr>
              <w:t>3</w:t>
            </w:r>
          </w:p>
        </w:tc>
      </w:tr>
      <w:tr w:rsidR="001D121B" w:rsidRPr="00AF78CA" w:rsidTr="001D121B">
        <w:tc>
          <w:tcPr>
            <w:tcW w:w="1591" w:type="dxa"/>
            <w:tcBorders>
              <w:left w:val="single" w:sz="4" w:space="0" w:color="auto"/>
              <w:right w:val="nil"/>
            </w:tcBorders>
          </w:tcPr>
          <w:p w:rsidR="001D121B" w:rsidRPr="00AF78CA" w:rsidRDefault="001D121B" w:rsidP="001D121B">
            <w:pPr>
              <w:jc w:val="center"/>
              <w:rPr>
                <w:sz w:val="24"/>
                <w:szCs w:val="24"/>
                <w:lang w:val="en-GB"/>
              </w:rPr>
            </w:pPr>
            <w:r w:rsidRPr="00AF78CA">
              <w:rPr>
                <w:sz w:val="24"/>
                <w:szCs w:val="24"/>
                <w:lang w:val="en-GB"/>
              </w:rPr>
              <w:t>As</w:t>
            </w:r>
          </w:p>
        </w:tc>
        <w:tc>
          <w:tcPr>
            <w:tcW w:w="1840" w:type="dxa"/>
            <w:tcBorders>
              <w:left w:val="nil"/>
              <w:bottom w:val="single" w:sz="4" w:space="0" w:color="auto"/>
              <w:right w:val="nil"/>
            </w:tcBorders>
          </w:tcPr>
          <w:p w:rsidR="001D121B" w:rsidRPr="00AF78CA" w:rsidRDefault="001D121B" w:rsidP="001D121B">
            <w:pPr>
              <w:jc w:val="center"/>
              <w:rPr>
                <w:sz w:val="24"/>
                <w:szCs w:val="24"/>
                <w:lang w:val="en-GB"/>
              </w:rPr>
            </w:pPr>
            <w:r w:rsidRPr="00AF78CA">
              <w:rPr>
                <w:sz w:val="24"/>
                <w:szCs w:val="24"/>
                <w:lang w:val="en-GB"/>
              </w:rPr>
              <w:t>-</w:t>
            </w:r>
          </w:p>
        </w:tc>
        <w:tc>
          <w:tcPr>
            <w:tcW w:w="1840" w:type="dxa"/>
            <w:tcBorders>
              <w:left w:val="nil"/>
              <w:bottom w:val="single" w:sz="4" w:space="0" w:color="auto"/>
              <w:right w:val="nil"/>
            </w:tcBorders>
          </w:tcPr>
          <w:p w:rsidR="001D121B" w:rsidRPr="00AF78CA" w:rsidRDefault="001D121B" w:rsidP="001D121B">
            <w:pPr>
              <w:jc w:val="center"/>
              <w:rPr>
                <w:sz w:val="24"/>
                <w:szCs w:val="24"/>
                <w:lang w:val="en-GB"/>
              </w:rPr>
            </w:pPr>
            <w:r w:rsidRPr="00AF78CA">
              <w:rPr>
                <w:sz w:val="24"/>
                <w:szCs w:val="24"/>
                <w:lang w:val="en-GB"/>
              </w:rPr>
              <w:t>-</w:t>
            </w:r>
          </w:p>
        </w:tc>
        <w:tc>
          <w:tcPr>
            <w:tcW w:w="1840" w:type="dxa"/>
            <w:tcBorders>
              <w:left w:val="nil"/>
              <w:bottom w:val="single" w:sz="4" w:space="0" w:color="auto"/>
              <w:right w:val="nil"/>
            </w:tcBorders>
          </w:tcPr>
          <w:p w:rsidR="001D121B" w:rsidRPr="00AF78CA" w:rsidRDefault="001D121B" w:rsidP="001D121B">
            <w:pPr>
              <w:jc w:val="center"/>
              <w:rPr>
                <w:sz w:val="24"/>
                <w:szCs w:val="24"/>
                <w:lang w:val="en-GB"/>
              </w:rPr>
            </w:pPr>
            <w:r w:rsidRPr="00AF78CA">
              <w:rPr>
                <w:sz w:val="24"/>
                <w:szCs w:val="24"/>
                <w:lang w:val="en-GB"/>
              </w:rPr>
              <w:t>-</w:t>
            </w:r>
          </w:p>
        </w:tc>
        <w:tc>
          <w:tcPr>
            <w:tcW w:w="1841" w:type="dxa"/>
            <w:tcBorders>
              <w:left w:val="nil"/>
              <w:bottom w:val="single" w:sz="4" w:space="0" w:color="auto"/>
              <w:right w:val="single" w:sz="4" w:space="0" w:color="auto"/>
            </w:tcBorders>
          </w:tcPr>
          <w:p w:rsidR="001D121B" w:rsidRPr="00AF78CA" w:rsidRDefault="001D121B" w:rsidP="001D121B">
            <w:pPr>
              <w:jc w:val="center"/>
              <w:rPr>
                <w:sz w:val="24"/>
                <w:szCs w:val="24"/>
                <w:lang w:val="en-GB"/>
              </w:rPr>
            </w:pPr>
            <w:r w:rsidRPr="00AF78CA">
              <w:rPr>
                <w:sz w:val="24"/>
                <w:szCs w:val="24"/>
                <w:lang w:val="en-GB"/>
              </w:rPr>
              <w:t>1.0</w:t>
            </w:r>
          </w:p>
        </w:tc>
      </w:tr>
      <w:tr w:rsidR="001D121B" w:rsidRPr="00AF78CA" w:rsidTr="001D121B">
        <w:tc>
          <w:tcPr>
            <w:tcW w:w="1591" w:type="dxa"/>
            <w:vMerge w:val="restart"/>
            <w:tcBorders>
              <w:left w:val="single" w:sz="4" w:space="0" w:color="auto"/>
              <w:right w:val="nil"/>
            </w:tcBorders>
          </w:tcPr>
          <w:p w:rsidR="001D121B" w:rsidRPr="00AF78CA" w:rsidRDefault="001D121B" w:rsidP="001D121B">
            <w:pPr>
              <w:jc w:val="center"/>
              <w:rPr>
                <w:sz w:val="24"/>
                <w:szCs w:val="24"/>
                <w:lang w:val="en-GB"/>
              </w:rPr>
            </w:pPr>
            <w:r w:rsidRPr="00AF78CA">
              <w:rPr>
                <w:sz w:val="24"/>
                <w:szCs w:val="24"/>
                <w:lang w:val="en-GB"/>
              </w:rPr>
              <w:t>Cd</w:t>
            </w:r>
          </w:p>
        </w:tc>
        <w:tc>
          <w:tcPr>
            <w:tcW w:w="1840" w:type="dxa"/>
            <w:tcBorders>
              <w:top w:val="nil"/>
              <w:left w:val="nil"/>
              <w:bottom w:val="nil"/>
              <w:right w:val="nil"/>
            </w:tcBorders>
          </w:tcPr>
          <w:p w:rsidR="001D121B" w:rsidRPr="00AF78CA" w:rsidRDefault="001D121B" w:rsidP="001D121B">
            <w:pPr>
              <w:jc w:val="center"/>
              <w:rPr>
                <w:sz w:val="24"/>
                <w:szCs w:val="24"/>
                <w:lang w:val="en-GB"/>
              </w:rPr>
            </w:pPr>
          </w:p>
        </w:tc>
        <w:tc>
          <w:tcPr>
            <w:tcW w:w="1840" w:type="dxa"/>
            <w:tcBorders>
              <w:top w:val="nil"/>
              <w:left w:val="nil"/>
              <w:bottom w:val="nil"/>
              <w:right w:val="nil"/>
            </w:tcBorders>
          </w:tcPr>
          <w:p w:rsidR="001D121B" w:rsidRPr="00AF78CA" w:rsidRDefault="001D121B" w:rsidP="001D121B">
            <w:pPr>
              <w:jc w:val="center"/>
              <w:rPr>
                <w:sz w:val="24"/>
                <w:szCs w:val="24"/>
                <w:lang w:val="en-GB"/>
              </w:rPr>
            </w:pPr>
            <w:r w:rsidRPr="00AF78CA">
              <w:rPr>
                <w:sz w:val="24"/>
                <w:szCs w:val="24"/>
                <w:lang w:val="en-GB"/>
              </w:rPr>
              <w:t xml:space="preserve"> ≤ 6.5</w:t>
            </w:r>
          </w:p>
        </w:tc>
        <w:tc>
          <w:tcPr>
            <w:tcW w:w="1840" w:type="dxa"/>
            <w:tcBorders>
              <w:top w:val="nil"/>
              <w:left w:val="nil"/>
              <w:bottom w:val="nil"/>
              <w:right w:val="nil"/>
            </w:tcBorders>
          </w:tcPr>
          <w:p w:rsidR="001D121B" w:rsidRPr="00AF78CA" w:rsidRDefault="001D121B" w:rsidP="001D121B">
            <w:pPr>
              <w:jc w:val="center"/>
              <w:rPr>
                <w:sz w:val="24"/>
                <w:szCs w:val="24"/>
                <w:lang w:val="en-GB"/>
              </w:rPr>
            </w:pPr>
            <w:r w:rsidRPr="00AF78CA">
              <w:rPr>
                <w:sz w:val="24"/>
                <w:szCs w:val="24"/>
                <w:lang w:val="en-GB"/>
              </w:rPr>
              <w:t>1.5</w:t>
            </w:r>
          </w:p>
        </w:tc>
        <w:tc>
          <w:tcPr>
            <w:tcW w:w="1841" w:type="dxa"/>
            <w:tcBorders>
              <w:top w:val="nil"/>
              <w:left w:val="nil"/>
              <w:bottom w:val="nil"/>
              <w:right w:val="single" w:sz="4" w:space="0" w:color="auto"/>
            </w:tcBorders>
          </w:tcPr>
          <w:p w:rsidR="001D121B" w:rsidRPr="00AF78CA" w:rsidRDefault="001D121B" w:rsidP="001D121B">
            <w:pPr>
              <w:jc w:val="center"/>
              <w:rPr>
                <w:sz w:val="24"/>
                <w:szCs w:val="24"/>
                <w:lang w:val="en-GB"/>
              </w:rPr>
            </w:pPr>
            <w:r w:rsidRPr="00AF78CA">
              <w:rPr>
                <w:sz w:val="24"/>
                <w:szCs w:val="24"/>
                <w:lang w:val="en-GB"/>
              </w:rPr>
              <w:t>-</w:t>
            </w:r>
          </w:p>
        </w:tc>
      </w:tr>
      <w:tr w:rsidR="001D121B" w:rsidRPr="00AF78CA" w:rsidTr="001D121B">
        <w:tc>
          <w:tcPr>
            <w:tcW w:w="1591" w:type="dxa"/>
            <w:vMerge/>
            <w:tcBorders>
              <w:left w:val="single" w:sz="4" w:space="0" w:color="auto"/>
              <w:right w:val="nil"/>
            </w:tcBorders>
          </w:tcPr>
          <w:p w:rsidR="001D121B" w:rsidRPr="00AF78CA" w:rsidRDefault="001D121B" w:rsidP="001D121B">
            <w:pPr>
              <w:jc w:val="center"/>
              <w:rPr>
                <w:sz w:val="24"/>
                <w:szCs w:val="24"/>
                <w:lang w:val="en-GB"/>
              </w:rPr>
            </w:pPr>
          </w:p>
        </w:tc>
        <w:tc>
          <w:tcPr>
            <w:tcW w:w="1840" w:type="dxa"/>
            <w:tcBorders>
              <w:top w:val="nil"/>
              <w:left w:val="nil"/>
              <w:bottom w:val="nil"/>
              <w:right w:val="nil"/>
            </w:tcBorders>
          </w:tcPr>
          <w:p w:rsidR="001D121B" w:rsidRPr="00AF78CA" w:rsidRDefault="00451EBA" w:rsidP="001D121B">
            <w:pPr>
              <w:jc w:val="center"/>
              <w:rPr>
                <w:sz w:val="24"/>
                <w:szCs w:val="24"/>
                <w:lang w:val="en-GB"/>
              </w:rPr>
            </w:pPr>
            <w:proofErr w:type="spellStart"/>
            <w:r>
              <w:rPr>
                <w:sz w:val="24"/>
                <w:szCs w:val="24"/>
                <w:lang w:val="en-GB"/>
              </w:rPr>
              <w:t>Běžné</w:t>
            </w:r>
            <w:proofErr w:type="spellEnd"/>
            <w:r>
              <w:rPr>
                <w:sz w:val="24"/>
                <w:szCs w:val="24"/>
                <w:lang w:val="en-GB"/>
              </w:rPr>
              <w:t xml:space="preserve"> </w:t>
            </w:r>
            <w:proofErr w:type="spellStart"/>
            <w:r>
              <w:rPr>
                <w:sz w:val="24"/>
                <w:szCs w:val="24"/>
                <w:lang w:val="en-GB"/>
              </w:rPr>
              <w:t>půdy</w:t>
            </w:r>
            <w:proofErr w:type="spellEnd"/>
          </w:p>
        </w:tc>
        <w:tc>
          <w:tcPr>
            <w:tcW w:w="1840" w:type="dxa"/>
            <w:tcBorders>
              <w:top w:val="nil"/>
              <w:left w:val="nil"/>
              <w:bottom w:val="nil"/>
              <w:right w:val="nil"/>
            </w:tcBorders>
          </w:tcPr>
          <w:p w:rsidR="001D121B" w:rsidRPr="00AF78CA" w:rsidRDefault="001D121B" w:rsidP="001D121B">
            <w:pPr>
              <w:jc w:val="center"/>
              <w:rPr>
                <w:sz w:val="24"/>
                <w:szCs w:val="24"/>
                <w:lang w:val="en-GB"/>
              </w:rPr>
            </w:pPr>
            <w:r w:rsidRPr="00AF78CA">
              <w:rPr>
                <w:sz w:val="24"/>
                <w:szCs w:val="24"/>
              </w:rPr>
              <w:t>&gt; 6.5</w:t>
            </w:r>
          </w:p>
        </w:tc>
        <w:tc>
          <w:tcPr>
            <w:tcW w:w="1840" w:type="dxa"/>
            <w:tcBorders>
              <w:top w:val="nil"/>
              <w:left w:val="nil"/>
              <w:bottom w:val="nil"/>
              <w:right w:val="nil"/>
            </w:tcBorders>
          </w:tcPr>
          <w:p w:rsidR="001D121B" w:rsidRPr="00AF78CA" w:rsidRDefault="001D121B" w:rsidP="001D121B">
            <w:pPr>
              <w:jc w:val="center"/>
              <w:rPr>
                <w:sz w:val="24"/>
                <w:szCs w:val="24"/>
                <w:lang w:val="en-GB"/>
              </w:rPr>
            </w:pPr>
            <w:r w:rsidRPr="00AF78CA">
              <w:rPr>
                <w:sz w:val="24"/>
                <w:szCs w:val="24"/>
                <w:lang w:val="en-GB"/>
              </w:rPr>
              <w:t>2.0</w:t>
            </w:r>
          </w:p>
        </w:tc>
        <w:tc>
          <w:tcPr>
            <w:tcW w:w="1841" w:type="dxa"/>
            <w:tcBorders>
              <w:top w:val="nil"/>
              <w:left w:val="nil"/>
              <w:bottom w:val="nil"/>
              <w:right w:val="single" w:sz="4" w:space="0" w:color="auto"/>
            </w:tcBorders>
          </w:tcPr>
          <w:p w:rsidR="001D121B" w:rsidRPr="00AF78CA" w:rsidRDefault="001D121B" w:rsidP="001D121B">
            <w:pPr>
              <w:jc w:val="center"/>
              <w:rPr>
                <w:sz w:val="24"/>
                <w:szCs w:val="24"/>
                <w:lang w:val="en-GB"/>
              </w:rPr>
            </w:pPr>
            <w:r w:rsidRPr="00AF78CA">
              <w:rPr>
                <w:sz w:val="24"/>
                <w:szCs w:val="24"/>
                <w:lang w:val="en-GB"/>
              </w:rPr>
              <w:t>0.1</w:t>
            </w:r>
          </w:p>
        </w:tc>
      </w:tr>
      <w:tr w:rsidR="001D121B" w:rsidRPr="00AF78CA" w:rsidTr="001D121B">
        <w:tc>
          <w:tcPr>
            <w:tcW w:w="1591" w:type="dxa"/>
            <w:vMerge/>
            <w:tcBorders>
              <w:left w:val="single" w:sz="4" w:space="0" w:color="auto"/>
              <w:bottom w:val="single" w:sz="4" w:space="0" w:color="auto"/>
              <w:right w:val="nil"/>
            </w:tcBorders>
          </w:tcPr>
          <w:p w:rsidR="001D121B" w:rsidRPr="00AF78CA" w:rsidRDefault="001D121B" w:rsidP="001D121B">
            <w:pPr>
              <w:jc w:val="center"/>
              <w:rPr>
                <w:sz w:val="24"/>
                <w:szCs w:val="24"/>
                <w:lang w:val="en-GB"/>
              </w:rPr>
            </w:pPr>
          </w:p>
        </w:tc>
        <w:tc>
          <w:tcPr>
            <w:tcW w:w="1840" w:type="dxa"/>
            <w:tcBorders>
              <w:top w:val="nil"/>
              <w:left w:val="nil"/>
              <w:bottom w:val="single" w:sz="4" w:space="0" w:color="auto"/>
              <w:right w:val="nil"/>
            </w:tcBorders>
          </w:tcPr>
          <w:p w:rsidR="001D121B" w:rsidRPr="00AF78CA" w:rsidRDefault="00451EBA" w:rsidP="001D121B">
            <w:pPr>
              <w:jc w:val="center"/>
              <w:rPr>
                <w:sz w:val="24"/>
                <w:szCs w:val="24"/>
                <w:lang w:val="en-GB"/>
              </w:rPr>
            </w:pPr>
            <w:proofErr w:type="spellStart"/>
            <w:r>
              <w:rPr>
                <w:sz w:val="24"/>
                <w:szCs w:val="24"/>
                <w:lang w:val="en-GB"/>
              </w:rPr>
              <w:t>Lehké</w:t>
            </w:r>
            <w:proofErr w:type="spellEnd"/>
            <w:r>
              <w:rPr>
                <w:sz w:val="24"/>
                <w:szCs w:val="24"/>
                <w:lang w:val="en-GB"/>
              </w:rPr>
              <w:t xml:space="preserve"> </w:t>
            </w:r>
            <w:proofErr w:type="spellStart"/>
            <w:r>
              <w:rPr>
                <w:sz w:val="24"/>
                <w:szCs w:val="24"/>
                <w:lang w:val="en-GB"/>
              </w:rPr>
              <w:t>půdy</w:t>
            </w:r>
            <w:proofErr w:type="spellEnd"/>
          </w:p>
        </w:tc>
        <w:tc>
          <w:tcPr>
            <w:tcW w:w="1840" w:type="dxa"/>
            <w:tcBorders>
              <w:top w:val="nil"/>
              <w:left w:val="nil"/>
              <w:bottom w:val="single" w:sz="4" w:space="0" w:color="auto"/>
              <w:right w:val="nil"/>
            </w:tcBorders>
          </w:tcPr>
          <w:p w:rsidR="001D121B" w:rsidRPr="00AF78CA" w:rsidRDefault="001D121B" w:rsidP="001D121B">
            <w:pPr>
              <w:jc w:val="center"/>
              <w:rPr>
                <w:sz w:val="24"/>
                <w:szCs w:val="24"/>
                <w:lang w:val="en-GB"/>
              </w:rPr>
            </w:pPr>
            <w:r w:rsidRPr="00AF78CA">
              <w:rPr>
                <w:sz w:val="24"/>
                <w:szCs w:val="24"/>
              </w:rPr>
              <w:t>&gt; 6.5</w:t>
            </w:r>
          </w:p>
        </w:tc>
        <w:tc>
          <w:tcPr>
            <w:tcW w:w="1840" w:type="dxa"/>
            <w:tcBorders>
              <w:top w:val="nil"/>
              <w:left w:val="nil"/>
              <w:bottom w:val="single" w:sz="4" w:space="0" w:color="auto"/>
              <w:right w:val="nil"/>
            </w:tcBorders>
          </w:tcPr>
          <w:p w:rsidR="001D121B" w:rsidRPr="00AF78CA" w:rsidRDefault="001D121B" w:rsidP="001D121B">
            <w:pPr>
              <w:jc w:val="center"/>
              <w:rPr>
                <w:sz w:val="24"/>
                <w:szCs w:val="24"/>
                <w:lang w:val="en-GB"/>
              </w:rPr>
            </w:pPr>
            <w:r w:rsidRPr="00AF78CA">
              <w:rPr>
                <w:sz w:val="24"/>
                <w:szCs w:val="24"/>
                <w:lang w:val="en-GB"/>
              </w:rPr>
              <w:t>2.0</w:t>
            </w:r>
          </w:p>
        </w:tc>
        <w:tc>
          <w:tcPr>
            <w:tcW w:w="1841" w:type="dxa"/>
            <w:tcBorders>
              <w:top w:val="nil"/>
              <w:left w:val="nil"/>
              <w:bottom w:val="single" w:sz="4" w:space="0" w:color="auto"/>
              <w:right w:val="single" w:sz="4" w:space="0" w:color="auto"/>
            </w:tcBorders>
          </w:tcPr>
          <w:p w:rsidR="001D121B" w:rsidRPr="00AF78CA" w:rsidRDefault="001D121B" w:rsidP="001D121B">
            <w:pPr>
              <w:jc w:val="center"/>
              <w:rPr>
                <w:sz w:val="24"/>
                <w:szCs w:val="24"/>
                <w:lang w:val="en-GB"/>
              </w:rPr>
            </w:pPr>
            <w:r w:rsidRPr="00AF78CA">
              <w:rPr>
                <w:sz w:val="24"/>
                <w:szCs w:val="24"/>
                <w:lang w:val="en-GB"/>
              </w:rPr>
              <w:t>0.04</w:t>
            </w:r>
          </w:p>
        </w:tc>
      </w:tr>
      <w:tr w:rsidR="001D121B" w:rsidRPr="00AF78CA" w:rsidTr="001D121B">
        <w:tc>
          <w:tcPr>
            <w:tcW w:w="1591" w:type="dxa"/>
            <w:tcBorders>
              <w:top w:val="nil"/>
              <w:left w:val="single" w:sz="4" w:space="0" w:color="auto"/>
              <w:bottom w:val="nil"/>
              <w:right w:val="nil"/>
            </w:tcBorders>
          </w:tcPr>
          <w:p w:rsidR="001D121B" w:rsidRPr="00AF78CA" w:rsidRDefault="001D121B" w:rsidP="001D121B">
            <w:pPr>
              <w:jc w:val="center"/>
              <w:rPr>
                <w:sz w:val="24"/>
                <w:szCs w:val="24"/>
                <w:lang w:val="en-GB"/>
              </w:rPr>
            </w:pPr>
            <w:r w:rsidRPr="00AF78CA">
              <w:rPr>
                <w:sz w:val="24"/>
                <w:szCs w:val="24"/>
                <w:lang w:val="en-GB"/>
              </w:rPr>
              <w:t>Ni</w:t>
            </w:r>
          </w:p>
        </w:tc>
        <w:tc>
          <w:tcPr>
            <w:tcW w:w="1840" w:type="dxa"/>
            <w:tcBorders>
              <w:top w:val="nil"/>
              <w:left w:val="nil"/>
              <w:bottom w:val="nil"/>
              <w:right w:val="nil"/>
            </w:tcBorders>
          </w:tcPr>
          <w:p w:rsidR="001D121B" w:rsidRPr="00AF78CA" w:rsidRDefault="001D121B" w:rsidP="001D121B">
            <w:pPr>
              <w:jc w:val="center"/>
              <w:rPr>
                <w:sz w:val="24"/>
                <w:szCs w:val="24"/>
                <w:lang w:val="en-GB"/>
              </w:rPr>
            </w:pPr>
          </w:p>
        </w:tc>
        <w:tc>
          <w:tcPr>
            <w:tcW w:w="1840" w:type="dxa"/>
            <w:tcBorders>
              <w:top w:val="nil"/>
              <w:left w:val="nil"/>
              <w:bottom w:val="nil"/>
              <w:right w:val="nil"/>
            </w:tcBorders>
          </w:tcPr>
          <w:p w:rsidR="001D121B" w:rsidRPr="00AF78CA" w:rsidRDefault="001D121B" w:rsidP="001D121B">
            <w:pPr>
              <w:jc w:val="center"/>
              <w:rPr>
                <w:sz w:val="24"/>
                <w:szCs w:val="24"/>
                <w:lang w:val="en-GB"/>
              </w:rPr>
            </w:pPr>
            <w:r w:rsidRPr="00AF78CA">
              <w:rPr>
                <w:sz w:val="24"/>
                <w:szCs w:val="24"/>
                <w:lang w:val="en-GB"/>
              </w:rPr>
              <w:t>≤ 6.5</w:t>
            </w:r>
          </w:p>
        </w:tc>
        <w:tc>
          <w:tcPr>
            <w:tcW w:w="1840" w:type="dxa"/>
            <w:tcBorders>
              <w:top w:val="nil"/>
              <w:left w:val="nil"/>
              <w:bottom w:val="nil"/>
              <w:right w:val="nil"/>
            </w:tcBorders>
          </w:tcPr>
          <w:p w:rsidR="001D121B" w:rsidRPr="00AF78CA" w:rsidRDefault="001D121B" w:rsidP="001D121B">
            <w:pPr>
              <w:jc w:val="center"/>
              <w:rPr>
                <w:sz w:val="24"/>
                <w:szCs w:val="24"/>
                <w:lang w:val="en-GB"/>
              </w:rPr>
            </w:pPr>
            <w:r w:rsidRPr="00AF78CA">
              <w:rPr>
                <w:sz w:val="24"/>
                <w:szCs w:val="24"/>
                <w:lang w:val="en-GB"/>
              </w:rPr>
              <w:t>150</w:t>
            </w:r>
          </w:p>
        </w:tc>
        <w:tc>
          <w:tcPr>
            <w:tcW w:w="1841" w:type="dxa"/>
            <w:tcBorders>
              <w:top w:val="nil"/>
              <w:left w:val="nil"/>
              <w:bottom w:val="nil"/>
              <w:right w:val="single" w:sz="4" w:space="0" w:color="auto"/>
            </w:tcBorders>
          </w:tcPr>
          <w:p w:rsidR="001D121B" w:rsidRPr="00AF78CA" w:rsidRDefault="001D121B" w:rsidP="001D121B">
            <w:pPr>
              <w:jc w:val="center"/>
              <w:rPr>
                <w:sz w:val="24"/>
                <w:szCs w:val="24"/>
                <w:lang w:val="en-GB"/>
              </w:rPr>
            </w:pPr>
            <w:r w:rsidRPr="00AF78CA">
              <w:rPr>
                <w:sz w:val="24"/>
                <w:szCs w:val="24"/>
                <w:lang w:val="en-GB"/>
              </w:rPr>
              <w:t>-</w:t>
            </w:r>
          </w:p>
        </w:tc>
      </w:tr>
      <w:tr w:rsidR="001D121B" w:rsidRPr="00AF78CA" w:rsidTr="001D121B">
        <w:tc>
          <w:tcPr>
            <w:tcW w:w="1591" w:type="dxa"/>
            <w:tcBorders>
              <w:top w:val="nil"/>
              <w:left w:val="single" w:sz="4" w:space="0" w:color="auto"/>
              <w:bottom w:val="nil"/>
              <w:right w:val="nil"/>
            </w:tcBorders>
          </w:tcPr>
          <w:p w:rsidR="001D121B" w:rsidRPr="00AF78CA" w:rsidRDefault="001D121B" w:rsidP="001D121B">
            <w:pPr>
              <w:jc w:val="center"/>
              <w:rPr>
                <w:sz w:val="24"/>
                <w:szCs w:val="24"/>
                <w:lang w:val="en-GB"/>
              </w:rPr>
            </w:pPr>
          </w:p>
        </w:tc>
        <w:tc>
          <w:tcPr>
            <w:tcW w:w="1840" w:type="dxa"/>
            <w:tcBorders>
              <w:top w:val="nil"/>
              <w:left w:val="nil"/>
              <w:bottom w:val="nil"/>
              <w:right w:val="nil"/>
            </w:tcBorders>
          </w:tcPr>
          <w:p w:rsidR="001D121B" w:rsidRPr="00AF78CA" w:rsidRDefault="001D121B" w:rsidP="001D121B">
            <w:pPr>
              <w:jc w:val="center"/>
              <w:rPr>
                <w:sz w:val="24"/>
                <w:szCs w:val="24"/>
                <w:lang w:val="en-GB"/>
              </w:rPr>
            </w:pPr>
          </w:p>
        </w:tc>
        <w:tc>
          <w:tcPr>
            <w:tcW w:w="1840" w:type="dxa"/>
            <w:tcBorders>
              <w:top w:val="nil"/>
              <w:left w:val="nil"/>
              <w:bottom w:val="nil"/>
              <w:right w:val="nil"/>
            </w:tcBorders>
          </w:tcPr>
          <w:p w:rsidR="001D121B" w:rsidRPr="00AF78CA" w:rsidRDefault="001D121B" w:rsidP="001D121B">
            <w:pPr>
              <w:jc w:val="center"/>
              <w:rPr>
                <w:sz w:val="24"/>
                <w:szCs w:val="24"/>
                <w:lang w:val="en-GB"/>
              </w:rPr>
            </w:pPr>
            <w:r w:rsidRPr="00AF78CA">
              <w:rPr>
                <w:sz w:val="24"/>
                <w:szCs w:val="24"/>
              </w:rPr>
              <w:t>&gt; 6.5</w:t>
            </w:r>
          </w:p>
        </w:tc>
        <w:tc>
          <w:tcPr>
            <w:tcW w:w="1840" w:type="dxa"/>
            <w:tcBorders>
              <w:top w:val="nil"/>
              <w:left w:val="nil"/>
              <w:bottom w:val="nil"/>
              <w:right w:val="nil"/>
            </w:tcBorders>
          </w:tcPr>
          <w:p w:rsidR="001D121B" w:rsidRPr="00AF78CA" w:rsidRDefault="001D121B" w:rsidP="001D121B">
            <w:pPr>
              <w:jc w:val="center"/>
              <w:rPr>
                <w:sz w:val="24"/>
                <w:szCs w:val="24"/>
                <w:lang w:val="en-GB"/>
              </w:rPr>
            </w:pPr>
            <w:r w:rsidRPr="00AF78CA">
              <w:rPr>
                <w:sz w:val="24"/>
                <w:szCs w:val="24"/>
                <w:lang w:val="en-GB"/>
              </w:rPr>
              <w:t>200</w:t>
            </w:r>
          </w:p>
        </w:tc>
        <w:tc>
          <w:tcPr>
            <w:tcW w:w="1841" w:type="dxa"/>
            <w:tcBorders>
              <w:top w:val="nil"/>
              <w:left w:val="nil"/>
              <w:bottom w:val="nil"/>
              <w:right w:val="single" w:sz="4" w:space="0" w:color="auto"/>
            </w:tcBorders>
          </w:tcPr>
          <w:p w:rsidR="001D121B" w:rsidRPr="00AF78CA" w:rsidRDefault="001D121B" w:rsidP="001D121B">
            <w:pPr>
              <w:jc w:val="center"/>
              <w:rPr>
                <w:sz w:val="24"/>
                <w:szCs w:val="24"/>
                <w:lang w:val="en-GB"/>
              </w:rPr>
            </w:pPr>
            <w:r w:rsidRPr="00AF78CA">
              <w:rPr>
                <w:sz w:val="24"/>
                <w:szCs w:val="24"/>
                <w:lang w:val="en-GB"/>
              </w:rPr>
              <w:t>-</w:t>
            </w:r>
          </w:p>
        </w:tc>
      </w:tr>
      <w:tr w:rsidR="001D121B" w:rsidRPr="00AF78CA" w:rsidTr="001D121B">
        <w:tc>
          <w:tcPr>
            <w:tcW w:w="1591" w:type="dxa"/>
            <w:tcBorders>
              <w:top w:val="nil"/>
              <w:left w:val="single" w:sz="4" w:space="0" w:color="auto"/>
              <w:right w:val="nil"/>
            </w:tcBorders>
          </w:tcPr>
          <w:p w:rsidR="001D121B" w:rsidRPr="00AF78CA" w:rsidRDefault="001D121B" w:rsidP="001D121B">
            <w:pPr>
              <w:jc w:val="center"/>
              <w:rPr>
                <w:sz w:val="24"/>
                <w:szCs w:val="24"/>
                <w:lang w:val="en-GB"/>
              </w:rPr>
            </w:pPr>
          </w:p>
        </w:tc>
        <w:tc>
          <w:tcPr>
            <w:tcW w:w="1840" w:type="dxa"/>
            <w:tcBorders>
              <w:top w:val="nil"/>
              <w:left w:val="nil"/>
              <w:bottom w:val="single" w:sz="4" w:space="0" w:color="auto"/>
              <w:right w:val="nil"/>
            </w:tcBorders>
          </w:tcPr>
          <w:p w:rsidR="001D121B" w:rsidRPr="00AF78CA" w:rsidRDefault="001D121B" w:rsidP="001D121B">
            <w:pPr>
              <w:jc w:val="center"/>
              <w:rPr>
                <w:sz w:val="24"/>
                <w:szCs w:val="24"/>
                <w:lang w:val="en-GB"/>
              </w:rPr>
            </w:pPr>
          </w:p>
        </w:tc>
        <w:tc>
          <w:tcPr>
            <w:tcW w:w="1840" w:type="dxa"/>
            <w:tcBorders>
              <w:top w:val="nil"/>
              <w:left w:val="nil"/>
              <w:bottom w:val="single" w:sz="4" w:space="0" w:color="auto"/>
              <w:right w:val="nil"/>
            </w:tcBorders>
          </w:tcPr>
          <w:p w:rsidR="001D121B" w:rsidRPr="00AF78CA" w:rsidRDefault="001D121B" w:rsidP="001D121B">
            <w:pPr>
              <w:jc w:val="center"/>
              <w:rPr>
                <w:sz w:val="24"/>
                <w:szCs w:val="24"/>
                <w:lang w:val="en-GB"/>
              </w:rPr>
            </w:pPr>
            <w:r w:rsidRPr="00AF78CA">
              <w:rPr>
                <w:sz w:val="24"/>
                <w:szCs w:val="24"/>
              </w:rPr>
              <w:t>-</w:t>
            </w:r>
          </w:p>
        </w:tc>
        <w:tc>
          <w:tcPr>
            <w:tcW w:w="1840" w:type="dxa"/>
            <w:tcBorders>
              <w:top w:val="nil"/>
              <w:left w:val="nil"/>
              <w:bottom w:val="single" w:sz="4" w:space="0" w:color="auto"/>
              <w:right w:val="nil"/>
            </w:tcBorders>
          </w:tcPr>
          <w:p w:rsidR="001D121B" w:rsidRPr="00AF78CA" w:rsidRDefault="001D121B" w:rsidP="001D121B">
            <w:pPr>
              <w:jc w:val="center"/>
              <w:rPr>
                <w:sz w:val="24"/>
                <w:szCs w:val="24"/>
                <w:lang w:val="en-GB"/>
              </w:rPr>
            </w:pPr>
            <w:r w:rsidRPr="00AF78CA">
              <w:rPr>
                <w:sz w:val="24"/>
                <w:szCs w:val="24"/>
                <w:lang w:val="en-GB"/>
              </w:rPr>
              <w:t>-</w:t>
            </w:r>
          </w:p>
        </w:tc>
        <w:tc>
          <w:tcPr>
            <w:tcW w:w="1841" w:type="dxa"/>
            <w:tcBorders>
              <w:top w:val="nil"/>
              <w:left w:val="nil"/>
              <w:bottom w:val="single" w:sz="4" w:space="0" w:color="auto"/>
              <w:right w:val="single" w:sz="4" w:space="0" w:color="auto"/>
            </w:tcBorders>
          </w:tcPr>
          <w:p w:rsidR="001D121B" w:rsidRPr="00AF78CA" w:rsidRDefault="001D121B" w:rsidP="001D121B">
            <w:pPr>
              <w:jc w:val="center"/>
              <w:rPr>
                <w:sz w:val="24"/>
                <w:szCs w:val="24"/>
                <w:lang w:val="en-GB"/>
              </w:rPr>
            </w:pPr>
            <w:r w:rsidRPr="00AF78CA">
              <w:rPr>
                <w:sz w:val="24"/>
                <w:szCs w:val="24"/>
                <w:lang w:val="en-GB"/>
              </w:rPr>
              <w:t>1.0</w:t>
            </w:r>
          </w:p>
        </w:tc>
      </w:tr>
      <w:tr w:rsidR="001D121B" w:rsidRPr="00AF78CA" w:rsidTr="001D121B">
        <w:tc>
          <w:tcPr>
            <w:tcW w:w="1591" w:type="dxa"/>
            <w:tcBorders>
              <w:left w:val="single" w:sz="4" w:space="0" w:color="auto"/>
              <w:right w:val="nil"/>
            </w:tcBorders>
          </w:tcPr>
          <w:p w:rsidR="001D121B" w:rsidRPr="00AF78CA" w:rsidRDefault="001D121B" w:rsidP="001D121B">
            <w:pPr>
              <w:jc w:val="center"/>
              <w:rPr>
                <w:sz w:val="24"/>
                <w:szCs w:val="24"/>
                <w:lang w:val="en-GB"/>
              </w:rPr>
            </w:pPr>
            <w:proofErr w:type="spellStart"/>
            <w:r w:rsidRPr="00AF78CA">
              <w:rPr>
                <w:sz w:val="24"/>
                <w:szCs w:val="24"/>
                <w:lang w:val="en-GB"/>
              </w:rPr>
              <w:t>Pb</w:t>
            </w:r>
            <w:proofErr w:type="spellEnd"/>
          </w:p>
        </w:tc>
        <w:tc>
          <w:tcPr>
            <w:tcW w:w="1840" w:type="dxa"/>
            <w:tcBorders>
              <w:left w:val="nil"/>
              <w:right w:val="nil"/>
            </w:tcBorders>
          </w:tcPr>
          <w:p w:rsidR="001D121B" w:rsidRPr="00AF78CA" w:rsidRDefault="001D121B" w:rsidP="001D121B">
            <w:pPr>
              <w:jc w:val="center"/>
              <w:rPr>
                <w:sz w:val="24"/>
                <w:szCs w:val="24"/>
                <w:lang w:val="en-GB"/>
              </w:rPr>
            </w:pPr>
          </w:p>
        </w:tc>
        <w:tc>
          <w:tcPr>
            <w:tcW w:w="1840" w:type="dxa"/>
            <w:tcBorders>
              <w:left w:val="nil"/>
              <w:right w:val="nil"/>
            </w:tcBorders>
          </w:tcPr>
          <w:p w:rsidR="001D121B" w:rsidRPr="00AF78CA" w:rsidRDefault="001D121B" w:rsidP="001D121B">
            <w:pPr>
              <w:jc w:val="center"/>
              <w:rPr>
                <w:sz w:val="24"/>
                <w:szCs w:val="24"/>
                <w:lang w:val="en-GB"/>
              </w:rPr>
            </w:pPr>
            <w:r w:rsidRPr="00AF78CA">
              <w:rPr>
                <w:sz w:val="24"/>
                <w:szCs w:val="24"/>
                <w:lang w:val="en-GB"/>
              </w:rPr>
              <w:t>-</w:t>
            </w:r>
          </w:p>
        </w:tc>
        <w:tc>
          <w:tcPr>
            <w:tcW w:w="1840" w:type="dxa"/>
            <w:tcBorders>
              <w:left w:val="nil"/>
              <w:right w:val="nil"/>
            </w:tcBorders>
          </w:tcPr>
          <w:p w:rsidR="001D121B" w:rsidRPr="00AF78CA" w:rsidRDefault="001D121B" w:rsidP="001D121B">
            <w:pPr>
              <w:jc w:val="center"/>
              <w:rPr>
                <w:sz w:val="24"/>
                <w:szCs w:val="24"/>
                <w:lang w:val="en-GB"/>
              </w:rPr>
            </w:pPr>
            <w:r w:rsidRPr="00AF78CA">
              <w:rPr>
                <w:sz w:val="24"/>
                <w:szCs w:val="24"/>
                <w:lang w:val="en-GB"/>
              </w:rPr>
              <w:t>300</w:t>
            </w:r>
          </w:p>
        </w:tc>
        <w:tc>
          <w:tcPr>
            <w:tcW w:w="1841" w:type="dxa"/>
            <w:tcBorders>
              <w:left w:val="nil"/>
              <w:right w:val="single" w:sz="4" w:space="0" w:color="auto"/>
            </w:tcBorders>
          </w:tcPr>
          <w:p w:rsidR="001D121B" w:rsidRPr="00AF78CA" w:rsidRDefault="001D121B" w:rsidP="001D121B">
            <w:pPr>
              <w:jc w:val="center"/>
              <w:rPr>
                <w:sz w:val="24"/>
                <w:szCs w:val="24"/>
                <w:lang w:val="en-GB"/>
              </w:rPr>
            </w:pPr>
            <w:r w:rsidRPr="00AF78CA">
              <w:rPr>
                <w:sz w:val="24"/>
                <w:szCs w:val="24"/>
                <w:lang w:val="en-GB"/>
              </w:rPr>
              <w:t>1.5</w:t>
            </w:r>
          </w:p>
        </w:tc>
      </w:tr>
      <w:tr w:rsidR="001D121B" w:rsidRPr="00AF78CA" w:rsidTr="001D121B">
        <w:tc>
          <w:tcPr>
            <w:tcW w:w="1591" w:type="dxa"/>
            <w:tcBorders>
              <w:left w:val="single" w:sz="4" w:space="0" w:color="auto"/>
              <w:right w:val="nil"/>
            </w:tcBorders>
          </w:tcPr>
          <w:p w:rsidR="001D121B" w:rsidRPr="00AF78CA" w:rsidRDefault="001D121B" w:rsidP="001D121B">
            <w:pPr>
              <w:jc w:val="center"/>
              <w:rPr>
                <w:sz w:val="24"/>
                <w:szCs w:val="24"/>
                <w:lang w:val="en-GB"/>
              </w:rPr>
            </w:pPr>
            <w:r w:rsidRPr="00AF78CA">
              <w:rPr>
                <w:sz w:val="24"/>
                <w:szCs w:val="24"/>
                <w:lang w:val="en-GB"/>
              </w:rPr>
              <w:t>Tl</w:t>
            </w:r>
          </w:p>
        </w:tc>
        <w:tc>
          <w:tcPr>
            <w:tcW w:w="1840" w:type="dxa"/>
            <w:tcBorders>
              <w:left w:val="nil"/>
              <w:right w:val="nil"/>
            </w:tcBorders>
          </w:tcPr>
          <w:p w:rsidR="001D121B" w:rsidRPr="00AF78CA" w:rsidRDefault="001D121B" w:rsidP="001D121B">
            <w:pPr>
              <w:jc w:val="center"/>
              <w:rPr>
                <w:sz w:val="24"/>
                <w:szCs w:val="24"/>
                <w:lang w:val="en-GB"/>
              </w:rPr>
            </w:pPr>
          </w:p>
        </w:tc>
        <w:tc>
          <w:tcPr>
            <w:tcW w:w="1840" w:type="dxa"/>
            <w:tcBorders>
              <w:left w:val="nil"/>
              <w:right w:val="nil"/>
            </w:tcBorders>
          </w:tcPr>
          <w:p w:rsidR="001D121B" w:rsidRPr="00AF78CA" w:rsidRDefault="001D121B" w:rsidP="001D121B">
            <w:pPr>
              <w:jc w:val="center"/>
              <w:rPr>
                <w:sz w:val="24"/>
                <w:szCs w:val="24"/>
                <w:lang w:val="en-GB"/>
              </w:rPr>
            </w:pPr>
            <w:r w:rsidRPr="00AF78CA">
              <w:rPr>
                <w:sz w:val="24"/>
                <w:szCs w:val="24"/>
                <w:lang w:val="en-GB"/>
              </w:rPr>
              <w:t>-</w:t>
            </w:r>
          </w:p>
        </w:tc>
        <w:tc>
          <w:tcPr>
            <w:tcW w:w="1840" w:type="dxa"/>
            <w:tcBorders>
              <w:left w:val="nil"/>
              <w:right w:val="nil"/>
            </w:tcBorders>
          </w:tcPr>
          <w:p w:rsidR="001D121B" w:rsidRPr="00AF78CA" w:rsidRDefault="001D121B" w:rsidP="001D121B">
            <w:pPr>
              <w:jc w:val="center"/>
              <w:rPr>
                <w:sz w:val="24"/>
                <w:szCs w:val="24"/>
                <w:lang w:val="en-GB"/>
              </w:rPr>
            </w:pPr>
            <w:r w:rsidRPr="00AF78CA">
              <w:rPr>
                <w:sz w:val="24"/>
                <w:szCs w:val="24"/>
                <w:lang w:val="en-GB"/>
              </w:rPr>
              <w:t>10</w:t>
            </w:r>
          </w:p>
        </w:tc>
        <w:tc>
          <w:tcPr>
            <w:tcW w:w="1841" w:type="dxa"/>
            <w:tcBorders>
              <w:left w:val="nil"/>
              <w:right w:val="single" w:sz="4" w:space="0" w:color="auto"/>
            </w:tcBorders>
          </w:tcPr>
          <w:p w:rsidR="001D121B" w:rsidRPr="00AF78CA" w:rsidRDefault="001D121B" w:rsidP="001D121B">
            <w:pPr>
              <w:jc w:val="center"/>
              <w:rPr>
                <w:sz w:val="24"/>
                <w:szCs w:val="24"/>
                <w:lang w:val="en-GB"/>
              </w:rPr>
            </w:pPr>
            <w:r w:rsidRPr="00AF78CA">
              <w:rPr>
                <w:sz w:val="24"/>
                <w:szCs w:val="24"/>
                <w:lang w:val="en-GB"/>
              </w:rPr>
              <w:t>0.2</w:t>
            </w:r>
          </w:p>
        </w:tc>
      </w:tr>
      <w:tr w:rsidR="001D121B" w:rsidRPr="00AF78CA" w:rsidTr="001D121B">
        <w:tc>
          <w:tcPr>
            <w:tcW w:w="1591" w:type="dxa"/>
            <w:tcBorders>
              <w:left w:val="single" w:sz="4" w:space="0" w:color="auto"/>
              <w:right w:val="nil"/>
            </w:tcBorders>
          </w:tcPr>
          <w:p w:rsidR="001D121B" w:rsidRPr="00AF78CA" w:rsidRDefault="001D121B" w:rsidP="001D121B">
            <w:pPr>
              <w:jc w:val="center"/>
              <w:rPr>
                <w:sz w:val="24"/>
                <w:szCs w:val="24"/>
                <w:lang w:val="en-GB"/>
              </w:rPr>
            </w:pPr>
            <w:r w:rsidRPr="00AF78CA">
              <w:rPr>
                <w:sz w:val="24"/>
                <w:szCs w:val="24"/>
                <w:lang w:val="en-GB"/>
              </w:rPr>
              <w:t>Hg</w:t>
            </w:r>
            <w:r w:rsidRPr="00AF78CA">
              <w:rPr>
                <w:sz w:val="24"/>
                <w:szCs w:val="24"/>
                <w:vertAlign w:val="superscript"/>
                <w:lang w:val="en-GB"/>
              </w:rPr>
              <w:t>1)</w:t>
            </w:r>
          </w:p>
        </w:tc>
        <w:tc>
          <w:tcPr>
            <w:tcW w:w="1840" w:type="dxa"/>
            <w:tcBorders>
              <w:left w:val="nil"/>
              <w:right w:val="nil"/>
            </w:tcBorders>
          </w:tcPr>
          <w:p w:rsidR="001D121B" w:rsidRPr="00AF78CA" w:rsidRDefault="001D121B" w:rsidP="001D121B">
            <w:pPr>
              <w:jc w:val="center"/>
              <w:rPr>
                <w:sz w:val="24"/>
                <w:szCs w:val="24"/>
                <w:lang w:val="en-GB"/>
              </w:rPr>
            </w:pPr>
          </w:p>
        </w:tc>
        <w:tc>
          <w:tcPr>
            <w:tcW w:w="1840" w:type="dxa"/>
            <w:tcBorders>
              <w:left w:val="nil"/>
              <w:right w:val="nil"/>
            </w:tcBorders>
          </w:tcPr>
          <w:p w:rsidR="001D121B" w:rsidRPr="00AF78CA" w:rsidRDefault="001D121B" w:rsidP="001D121B">
            <w:pPr>
              <w:jc w:val="center"/>
              <w:rPr>
                <w:sz w:val="24"/>
                <w:szCs w:val="24"/>
                <w:lang w:val="en-GB"/>
              </w:rPr>
            </w:pPr>
            <w:r w:rsidRPr="00AF78CA">
              <w:rPr>
                <w:sz w:val="24"/>
                <w:szCs w:val="24"/>
                <w:lang w:val="en-GB"/>
              </w:rPr>
              <w:t>-</w:t>
            </w:r>
          </w:p>
        </w:tc>
        <w:tc>
          <w:tcPr>
            <w:tcW w:w="1840" w:type="dxa"/>
            <w:tcBorders>
              <w:left w:val="nil"/>
              <w:right w:val="nil"/>
            </w:tcBorders>
          </w:tcPr>
          <w:p w:rsidR="001D121B" w:rsidRPr="00AF78CA" w:rsidRDefault="001D121B" w:rsidP="001D121B">
            <w:pPr>
              <w:jc w:val="center"/>
              <w:rPr>
                <w:sz w:val="24"/>
                <w:szCs w:val="24"/>
                <w:lang w:val="en-GB"/>
              </w:rPr>
            </w:pPr>
            <w:r w:rsidRPr="00AF78CA">
              <w:rPr>
                <w:sz w:val="24"/>
                <w:szCs w:val="24"/>
                <w:lang w:val="en-GB"/>
              </w:rPr>
              <w:t>1.5</w:t>
            </w:r>
          </w:p>
        </w:tc>
        <w:tc>
          <w:tcPr>
            <w:tcW w:w="1841" w:type="dxa"/>
            <w:tcBorders>
              <w:left w:val="nil"/>
              <w:right w:val="single" w:sz="4" w:space="0" w:color="auto"/>
            </w:tcBorders>
          </w:tcPr>
          <w:p w:rsidR="001D121B" w:rsidRPr="00AF78CA" w:rsidRDefault="001D121B" w:rsidP="001D121B">
            <w:pPr>
              <w:jc w:val="center"/>
              <w:rPr>
                <w:sz w:val="24"/>
                <w:szCs w:val="24"/>
                <w:lang w:val="en-GB"/>
              </w:rPr>
            </w:pPr>
            <w:r w:rsidRPr="00AF78CA">
              <w:rPr>
                <w:sz w:val="24"/>
                <w:szCs w:val="24"/>
                <w:lang w:val="en-GB"/>
              </w:rPr>
              <w:t>-</w:t>
            </w:r>
          </w:p>
        </w:tc>
      </w:tr>
    </w:tbl>
    <w:p w:rsidR="001D121B" w:rsidRPr="00AF78CA" w:rsidRDefault="001D121B" w:rsidP="001D121B">
      <w:pPr>
        <w:spacing w:after="0" w:line="240" w:lineRule="auto"/>
        <w:rPr>
          <w:rFonts w:ascii="Times New Roman" w:hAnsi="Times New Roman" w:cs="Times New Roman"/>
          <w:sz w:val="24"/>
          <w:szCs w:val="24"/>
        </w:rPr>
      </w:pPr>
      <w:r w:rsidRPr="00AF78CA">
        <w:rPr>
          <w:rFonts w:ascii="Times New Roman" w:hAnsi="Times New Roman" w:cs="Times New Roman"/>
          <w:sz w:val="24"/>
          <w:szCs w:val="24"/>
          <w:vertAlign w:val="superscript"/>
        </w:rPr>
        <w:t>1)</w:t>
      </w:r>
      <w:r w:rsidRPr="00AF78CA">
        <w:rPr>
          <w:rFonts w:ascii="Times New Roman" w:hAnsi="Times New Roman" w:cs="Times New Roman"/>
          <w:sz w:val="24"/>
          <w:szCs w:val="24"/>
        </w:rPr>
        <w:t>Celkový obsah</w:t>
      </w:r>
    </w:p>
    <w:p w:rsidR="001D121B" w:rsidRPr="00AF78CA" w:rsidRDefault="001D121B" w:rsidP="001D121B">
      <w:pPr>
        <w:spacing w:before="240" w:after="0" w:line="240" w:lineRule="auto"/>
        <w:rPr>
          <w:rFonts w:ascii="Times New Roman" w:hAnsi="Times New Roman" w:cs="Times New Roman"/>
          <w:sz w:val="24"/>
          <w:szCs w:val="24"/>
        </w:rPr>
      </w:pPr>
      <w:r w:rsidRPr="00AF78CA">
        <w:rPr>
          <w:rFonts w:ascii="Times New Roman" w:hAnsi="Times New Roman" w:cs="Times New Roman"/>
          <w:sz w:val="24"/>
          <w:szCs w:val="24"/>
        </w:rPr>
        <w:t>Indikační hodnoty, při jejichž překročení může být podezření z ohrožení růstu rostlin a produkční funkce půdy (mg/kg sušiny) dle vyhlášky MŽP č. 153/2016 Sb.</w:t>
      </w:r>
    </w:p>
    <w:tbl>
      <w:tblPr>
        <w:tblStyle w:val="Mkatabulky"/>
        <w:tblW w:w="0" w:type="auto"/>
        <w:tblInd w:w="-142" w:type="dxa"/>
        <w:tblLook w:val="04A0" w:firstRow="1" w:lastRow="0" w:firstColumn="1" w:lastColumn="0" w:noHBand="0" w:noVBand="1"/>
      </w:tblPr>
      <w:tblGrid>
        <w:gridCol w:w="1840"/>
        <w:gridCol w:w="1841"/>
        <w:gridCol w:w="1841"/>
        <w:gridCol w:w="1841"/>
        <w:gridCol w:w="1841"/>
      </w:tblGrid>
      <w:tr w:rsidR="001D121B" w:rsidRPr="00AF78CA" w:rsidTr="001D121B">
        <w:tc>
          <w:tcPr>
            <w:tcW w:w="1842" w:type="dxa"/>
            <w:vMerge w:val="restart"/>
            <w:tcBorders>
              <w:right w:val="nil"/>
            </w:tcBorders>
          </w:tcPr>
          <w:p w:rsidR="001D121B" w:rsidRPr="00AF78CA" w:rsidRDefault="001D121B" w:rsidP="001D121B">
            <w:pPr>
              <w:jc w:val="center"/>
              <w:rPr>
                <w:sz w:val="24"/>
                <w:szCs w:val="24"/>
                <w:lang w:val="en-GB"/>
              </w:rPr>
            </w:pPr>
            <w:proofErr w:type="spellStart"/>
            <w:r w:rsidRPr="00AF78CA">
              <w:rPr>
                <w:sz w:val="24"/>
                <w:szCs w:val="24"/>
                <w:lang w:val="en-GB"/>
              </w:rPr>
              <w:t>Prvek</w:t>
            </w:r>
            <w:proofErr w:type="spellEnd"/>
          </w:p>
        </w:tc>
        <w:tc>
          <w:tcPr>
            <w:tcW w:w="1842" w:type="dxa"/>
            <w:vMerge w:val="restart"/>
            <w:tcBorders>
              <w:left w:val="nil"/>
              <w:right w:val="nil"/>
            </w:tcBorders>
          </w:tcPr>
          <w:p w:rsidR="001D121B" w:rsidRPr="00AF78CA" w:rsidRDefault="001D121B" w:rsidP="001D121B">
            <w:pPr>
              <w:jc w:val="center"/>
              <w:rPr>
                <w:sz w:val="24"/>
                <w:szCs w:val="24"/>
                <w:lang w:val="en-GB"/>
              </w:rPr>
            </w:pPr>
            <w:proofErr w:type="spellStart"/>
            <w:r w:rsidRPr="00AF78CA">
              <w:rPr>
                <w:sz w:val="24"/>
                <w:szCs w:val="24"/>
                <w:lang w:val="en-GB"/>
              </w:rPr>
              <w:t>Struktura</w:t>
            </w:r>
            <w:proofErr w:type="spellEnd"/>
          </w:p>
        </w:tc>
        <w:tc>
          <w:tcPr>
            <w:tcW w:w="1842" w:type="dxa"/>
            <w:vMerge w:val="restart"/>
            <w:tcBorders>
              <w:left w:val="nil"/>
              <w:right w:val="nil"/>
            </w:tcBorders>
          </w:tcPr>
          <w:p w:rsidR="001D121B" w:rsidRPr="00AF78CA" w:rsidRDefault="001D121B" w:rsidP="001D121B">
            <w:pPr>
              <w:jc w:val="center"/>
              <w:rPr>
                <w:sz w:val="24"/>
                <w:szCs w:val="24"/>
                <w:lang w:val="en-GB"/>
              </w:rPr>
            </w:pPr>
            <w:r w:rsidRPr="00AF78CA">
              <w:rPr>
                <w:sz w:val="24"/>
                <w:szCs w:val="24"/>
                <w:lang w:val="en-GB"/>
              </w:rPr>
              <w:t>pH/CaCl</w:t>
            </w:r>
            <w:r w:rsidRPr="00AF78CA">
              <w:rPr>
                <w:sz w:val="24"/>
                <w:szCs w:val="24"/>
                <w:vertAlign w:val="subscript"/>
                <w:lang w:val="en-GB"/>
              </w:rPr>
              <w:t>2</w:t>
            </w:r>
          </w:p>
        </w:tc>
        <w:tc>
          <w:tcPr>
            <w:tcW w:w="3686" w:type="dxa"/>
            <w:gridSpan w:val="2"/>
            <w:tcBorders>
              <w:left w:val="nil"/>
            </w:tcBorders>
          </w:tcPr>
          <w:p w:rsidR="001D121B" w:rsidRPr="00AF78CA" w:rsidRDefault="001D121B" w:rsidP="001D121B">
            <w:pPr>
              <w:jc w:val="center"/>
              <w:rPr>
                <w:sz w:val="24"/>
                <w:szCs w:val="24"/>
                <w:lang w:val="en-GB"/>
              </w:rPr>
            </w:pPr>
            <w:proofErr w:type="spellStart"/>
            <w:r w:rsidRPr="00AF78CA">
              <w:rPr>
                <w:sz w:val="24"/>
                <w:szCs w:val="24"/>
                <w:lang w:val="en-GB"/>
              </w:rPr>
              <w:t>Indikační</w:t>
            </w:r>
            <w:proofErr w:type="spellEnd"/>
            <w:r w:rsidRPr="00AF78CA">
              <w:rPr>
                <w:sz w:val="24"/>
                <w:szCs w:val="24"/>
                <w:lang w:val="en-GB"/>
              </w:rPr>
              <w:t xml:space="preserve"> </w:t>
            </w:r>
            <w:proofErr w:type="spellStart"/>
            <w:r w:rsidRPr="00AF78CA">
              <w:rPr>
                <w:sz w:val="24"/>
                <w:szCs w:val="24"/>
                <w:lang w:val="en-GB"/>
              </w:rPr>
              <w:t>hodnota</w:t>
            </w:r>
            <w:proofErr w:type="spellEnd"/>
            <w:r w:rsidRPr="00AF78CA">
              <w:rPr>
                <w:sz w:val="24"/>
                <w:szCs w:val="24"/>
                <w:lang w:val="en-GB"/>
              </w:rPr>
              <w:t xml:space="preserve"> (mg/kg )</w:t>
            </w:r>
          </w:p>
        </w:tc>
      </w:tr>
      <w:tr w:rsidR="001D121B" w:rsidRPr="00AF78CA" w:rsidTr="001D121B">
        <w:tc>
          <w:tcPr>
            <w:tcW w:w="1842" w:type="dxa"/>
            <w:vMerge/>
            <w:tcBorders>
              <w:right w:val="nil"/>
            </w:tcBorders>
          </w:tcPr>
          <w:p w:rsidR="001D121B" w:rsidRPr="00AF78CA" w:rsidRDefault="001D121B" w:rsidP="001D121B">
            <w:pPr>
              <w:jc w:val="center"/>
              <w:rPr>
                <w:sz w:val="24"/>
                <w:szCs w:val="24"/>
                <w:lang w:val="en-GB"/>
              </w:rPr>
            </w:pPr>
          </w:p>
        </w:tc>
        <w:tc>
          <w:tcPr>
            <w:tcW w:w="1842" w:type="dxa"/>
            <w:vMerge/>
            <w:tcBorders>
              <w:left w:val="nil"/>
              <w:bottom w:val="single" w:sz="4" w:space="0" w:color="auto"/>
              <w:right w:val="nil"/>
            </w:tcBorders>
          </w:tcPr>
          <w:p w:rsidR="001D121B" w:rsidRPr="00AF78CA" w:rsidRDefault="001D121B" w:rsidP="001D121B">
            <w:pPr>
              <w:jc w:val="center"/>
              <w:rPr>
                <w:sz w:val="24"/>
                <w:szCs w:val="24"/>
                <w:lang w:val="en-GB"/>
              </w:rPr>
            </w:pPr>
          </w:p>
        </w:tc>
        <w:tc>
          <w:tcPr>
            <w:tcW w:w="1842" w:type="dxa"/>
            <w:vMerge/>
            <w:tcBorders>
              <w:left w:val="nil"/>
              <w:bottom w:val="single" w:sz="4" w:space="0" w:color="auto"/>
              <w:right w:val="nil"/>
            </w:tcBorders>
          </w:tcPr>
          <w:p w:rsidR="001D121B" w:rsidRPr="00AF78CA" w:rsidRDefault="001D121B" w:rsidP="001D121B">
            <w:pPr>
              <w:jc w:val="center"/>
              <w:rPr>
                <w:sz w:val="24"/>
                <w:szCs w:val="24"/>
                <w:lang w:val="en-GB"/>
              </w:rPr>
            </w:pPr>
          </w:p>
        </w:tc>
        <w:tc>
          <w:tcPr>
            <w:tcW w:w="1843" w:type="dxa"/>
            <w:tcBorders>
              <w:left w:val="nil"/>
              <w:bottom w:val="single" w:sz="4" w:space="0" w:color="auto"/>
              <w:right w:val="nil"/>
            </w:tcBorders>
          </w:tcPr>
          <w:p w:rsidR="001D121B" w:rsidRPr="00AF78CA" w:rsidRDefault="00451EBA" w:rsidP="001D121B">
            <w:pPr>
              <w:jc w:val="center"/>
              <w:rPr>
                <w:sz w:val="24"/>
                <w:szCs w:val="24"/>
                <w:lang w:val="en-GB"/>
              </w:rPr>
            </w:pPr>
            <w:proofErr w:type="spellStart"/>
            <w:r>
              <w:rPr>
                <w:sz w:val="24"/>
                <w:szCs w:val="24"/>
                <w:lang w:val="en-GB"/>
              </w:rPr>
              <w:t>Lučavka</w:t>
            </w:r>
            <w:proofErr w:type="spellEnd"/>
          </w:p>
        </w:tc>
        <w:tc>
          <w:tcPr>
            <w:tcW w:w="1843" w:type="dxa"/>
            <w:tcBorders>
              <w:left w:val="nil"/>
              <w:bottom w:val="single" w:sz="4" w:space="0" w:color="auto"/>
            </w:tcBorders>
          </w:tcPr>
          <w:p w:rsidR="001D121B" w:rsidRPr="00AF78CA" w:rsidRDefault="001D121B" w:rsidP="001D121B">
            <w:pPr>
              <w:jc w:val="center"/>
              <w:rPr>
                <w:sz w:val="24"/>
                <w:szCs w:val="24"/>
                <w:lang w:val="en-GB"/>
              </w:rPr>
            </w:pPr>
            <w:r w:rsidRPr="00AF78CA">
              <w:rPr>
                <w:sz w:val="24"/>
                <w:szCs w:val="24"/>
                <w:lang w:val="en-GB"/>
              </w:rPr>
              <w:t>1mol/L NH</w:t>
            </w:r>
            <w:r w:rsidRPr="00AF78CA">
              <w:rPr>
                <w:sz w:val="24"/>
                <w:szCs w:val="24"/>
                <w:vertAlign w:val="subscript"/>
                <w:lang w:val="en-GB"/>
              </w:rPr>
              <w:t>4</w:t>
            </w:r>
            <w:r w:rsidRPr="00AF78CA">
              <w:rPr>
                <w:sz w:val="24"/>
                <w:szCs w:val="24"/>
                <w:lang w:val="en-GB"/>
              </w:rPr>
              <w:t>NO</w:t>
            </w:r>
            <w:r w:rsidRPr="00AF78CA">
              <w:rPr>
                <w:sz w:val="24"/>
                <w:szCs w:val="24"/>
                <w:vertAlign w:val="subscript"/>
                <w:lang w:val="en-GB"/>
              </w:rPr>
              <w:t>3</w:t>
            </w:r>
          </w:p>
        </w:tc>
      </w:tr>
      <w:tr w:rsidR="001D121B" w:rsidRPr="00AF78CA" w:rsidTr="001D121B">
        <w:tc>
          <w:tcPr>
            <w:tcW w:w="1842" w:type="dxa"/>
            <w:vMerge w:val="restart"/>
            <w:tcBorders>
              <w:right w:val="nil"/>
            </w:tcBorders>
          </w:tcPr>
          <w:p w:rsidR="001D121B" w:rsidRPr="00AF78CA" w:rsidRDefault="001D121B" w:rsidP="001D121B">
            <w:pPr>
              <w:jc w:val="center"/>
              <w:rPr>
                <w:sz w:val="24"/>
                <w:szCs w:val="24"/>
                <w:lang w:val="en-GB"/>
              </w:rPr>
            </w:pPr>
            <w:r w:rsidRPr="00AF78CA">
              <w:rPr>
                <w:sz w:val="24"/>
                <w:szCs w:val="24"/>
                <w:lang w:val="en-GB"/>
              </w:rPr>
              <w:t>Cu</w:t>
            </w:r>
          </w:p>
        </w:tc>
        <w:tc>
          <w:tcPr>
            <w:tcW w:w="1842" w:type="dxa"/>
            <w:tcBorders>
              <w:left w:val="nil"/>
              <w:bottom w:val="nil"/>
              <w:right w:val="nil"/>
            </w:tcBorders>
          </w:tcPr>
          <w:p w:rsidR="001D121B" w:rsidRPr="00AF78CA" w:rsidRDefault="001D121B" w:rsidP="001D121B">
            <w:pPr>
              <w:jc w:val="center"/>
              <w:rPr>
                <w:sz w:val="24"/>
                <w:szCs w:val="24"/>
                <w:lang w:val="en-GB"/>
              </w:rPr>
            </w:pPr>
          </w:p>
        </w:tc>
        <w:tc>
          <w:tcPr>
            <w:tcW w:w="1842" w:type="dxa"/>
            <w:tcBorders>
              <w:left w:val="nil"/>
              <w:bottom w:val="nil"/>
              <w:right w:val="nil"/>
            </w:tcBorders>
          </w:tcPr>
          <w:p w:rsidR="001D121B" w:rsidRPr="00AF78CA" w:rsidRDefault="001D121B" w:rsidP="001D121B">
            <w:pPr>
              <w:jc w:val="center"/>
              <w:rPr>
                <w:sz w:val="24"/>
                <w:szCs w:val="24"/>
                <w:lang w:val="en-GB"/>
              </w:rPr>
            </w:pPr>
            <w:r w:rsidRPr="00AF78CA">
              <w:rPr>
                <w:sz w:val="24"/>
                <w:szCs w:val="24"/>
              </w:rPr>
              <w:t>&lt;5</w:t>
            </w:r>
          </w:p>
        </w:tc>
        <w:tc>
          <w:tcPr>
            <w:tcW w:w="1843" w:type="dxa"/>
            <w:tcBorders>
              <w:left w:val="nil"/>
              <w:bottom w:val="nil"/>
              <w:right w:val="nil"/>
            </w:tcBorders>
          </w:tcPr>
          <w:p w:rsidR="001D121B" w:rsidRPr="00AF78CA" w:rsidRDefault="001D121B" w:rsidP="001D121B">
            <w:pPr>
              <w:jc w:val="center"/>
              <w:rPr>
                <w:sz w:val="24"/>
                <w:szCs w:val="24"/>
                <w:lang w:val="en-GB"/>
              </w:rPr>
            </w:pPr>
            <w:r w:rsidRPr="00AF78CA">
              <w:rPr>
                <w:sz w:val="24"/>
                <w:szCs w:val="24"/>
                <w:lang w:val="en-GB"/>
              </w:rPr>
              <w:t>150</w:t>
            </w:r>
          </w:p>
        </w:tc>
        <w:tc>
          <w:tcPr>
            <w:tcW w:w="1843" w:type="dxa"/>
            <w:tcBorders>
              <w:left w:val="nil"/>
              <w:bottom w:val="nil"/>
            </w:tcBorders>
          </w:tcPr>
          <w:p w:rsidR="001D121B" w:rsidRPr="00AF78CA" w:rsidRDefault="001D121B" w:rsidP="001D121B">
            <w:pPr>
              <w:jc w:val="center"/>
              <w:rPr>
                <w:sz w:val="24"/>
                <w:szCs w:val="24"/>
                <w:lang w:val="en-GB"/>
              </w:rPr>
            </w:pPr>
            <w:r w:rsidRPr="00AF78CA">
              <w:rPr>
                <w:sz w:val="24"/>
                <w:szCs w:val="24"/>
                <w:lang w:val="en-GB"/>
              </w:rPr>
              <w:t>-</w:t>
            </w:r>
          </w:p>
        </w:tc>
      </w:tr>
      <w:tr w:rsidR="001D121B" w:rsidRPr="00AF78CA" w:rsidTr="001D121B">
        <w:tc>
          <w:tcPr>
            <w:tcW w:w="1842" w:type="dxa"/>
            <w:vMerge/>
            <w:tcBorders>
              <w:right w:val="nil"/>
            </w:tcBorders>
          </w:tcPr>
          <w:p w:rsidR="001D121B" w:rsidRPr="00AF78CA" w:rsidRDefault="001D121B" w:rsidP="001D121B">
            <w:pPr>
              <w:jc w:val="center"/>
              <w:rPr>
                <w:sz w:val="24"/>
                <w:szCs w:val="24"/>
                <w:lang w:val="en-GB"/>
              </w:rPr>
            </w:pPr>
          </w:p>
        </w:tc>
        <w:tc>
          <w:tcPr>
            <w:tcW w:w="1842" w:type="dxa"/>
            <w:tcBorders>
              <w:top w:val="nil"/>
              <w:left w:val="nil"/>
              <w:bottom w:val="nil"/>
              <w:right w:val="nil"/>
            </w:tcBorders>
          </w:tcPr>
          <w:p w:rsidR="001D121B" w:rsidRPr="00AF78CA" w:rsidRDefault="001D121B" w:rsidP="001D121B">
            <w:pPr>
              <w:jc w:val="center"/>
              <w:rPr>
                <w:sz w:val="24"/>
                <w:szCs w:val="24"/>
                <w:lang w:val="en-GB"/>
              </w:rPr>
            </w:pPr>
          </w:p>
        </w:tc>
        <w:tc>
          <w:tcPr>
            <w:tcW w:w="1842" w:type="dxa"/>
            <w:tcBorders>
              <w:top w:val="nil"/>
              <w:left w:val="nil"/>
              <w:bottom w:val="nil"/>
              <w:right w:val="nil"/>
            </w:tcBorders>
          </w:tcPr>
          <w:p w:rsidR="001D121B" w:rsidRPr="00AF78CA" w:rsidRDefault="001D121B" w:rsidP="001D121B">
            <w:pPr>
              <w:jc w:val="center"/>
              <w:rPr>
                <w:sz w:val="24"/>
                <w:szCs w:val="24"/>
                <w:lang w:val="en-GB"/>
              </w:rPr>
            </w:pPr>
            <w:r w:rsidRPr="00AF78CA">
              <w:rPr>
                <w:sz w:val="24"/>
                <w:szCs w:val="24"/>
                <w:lang w:val="en-GB"/>
              </w:rPr>
              <w:t>5 – 6.5</w:t>
            </w:r>
          </w:p>
        </w:tc>
        <w:tc>
          <w:tcPr>
            <w:tcW w:w="1843" w:type="dxa"/>
            <w:tcBorders>
              <w:top w:val="nil"/>
              <w:left w:val="nil"/>
              <w:bottom w:val="nil"/>
              <w:right w:val="nil"/>
            </w:tcBorders>
          </w:tcPr>
          <w:p w:rsidR="001D121B" w:rsidRPr="00AF78CA" w:rsidRDefault="001D121B" w:rsidP="001D121B">
            <w:pPr>
              <w:jc w:val="center"/>
              <w:rPr>
                <w:sz w:val="24"/>
                <w:szCs w:val="24"/>
                <w:lang w:val="en-GB"/>
              </w:rPr>
            </w:pPr>
            <w:r w:rsidRPr="00AF78CA">
              <w:rPr>
                <w:sz w:val="24"/>
                <w:szCs w:val="24"/>
                <w:lang w:val="en-GB"/>
              </w:rPr>
              <w:t>200</w:t>
            </w:r>
          </w:p>
        </w:tc>
        <w:tc>
          <w:tcPr>
            <w:tcW w:w="1843" w:type="dxa"/>
            <w:tcBorders>
              <w:top w:val="nil"/>
              <w:left w:val="nil"/>
              <w:bottom w:val="nil"/>
            </w:tcBorders>
          </w:tcPr>
          <w:p w:rsidR="001D121B" w:rsidRPr="00AF78CA" w:rsidRDefault="001D121B" w:rsidP="001D121B">
            <w:pPr>
              <w:jc w:val="center"/>
              <w:rPr>
                <w:sz w:val="24"/>
                <w:szCs w:val="24"/>
                <w:lang w:val="en-GB"/>
              </w:rPr>
            </w:pPr>
            <w:r w:rsidRPr="00AF78CA">
              <w:rPr>
                <w:sz w:val="24"/>
                <w:szCs w:val="24"/>
                <w:lang w:val="en-GB"/>
              </w:rPr>
              <w:t>-</w:t>
            </w:r>
          </w:p>
        </w:tc>
      </w:tr>
      <w:tr w:rsidR="001D121B" w:rsidRPr="00AF78CA" w:rsidTr="001D121B">
        <w:tc>
          <w:tcPr>
            <w:tcW w:w="1842" w:type="dxa"/>
            <w:vMerge/>
            <w:tcBorders>
              <w:right w:val="nil"/>
            </w:tcBorders>
          </w:tcPr>
          <w:p w:rsidR="001D121B" w:rsidRPr="00AF78CA" w:rsidRDefault="001D121B" w:rsidP="001D121B">
            <w:pPr>
              <w:jc w:val="center"/>
              <w:rPr>
                <w:sz w:val="24"/>
                <w:szCs w:val="24"/>
                <w:lang w:val="en-GB"/>
              </w:rPr>
            </w:pPr>
          </w:p>
        </w:tc>
        <w:tc>
          <w:tcPr>
            <w:tcW w:w="1842" w:type="dxa"/>
            <w:tcBorders>
              <w:top w:val="nil"/>
              <w:left w:val="nil"/>
              <w:bottom w:val="nil"/>
              <w:right w:val="nil"/>
            </w:tcBorders>
          </w:tcPr>
          <w:p w:rsidR="001D121B" w:rsidRPr="00AF78CA" w:rsidRDefault="001D121B" w:rsidP="001D121B">
            <w:pPr>
              <w:jc w:val="center"/>
              <w:rPr>
                <w:sz w:val="24"/>
                <w:szCs w:val="24"/>
                <w:lang w:val="en-GB"/>
              </w:rPr>
            </w:pPr>
          </w:p>
        </w:tc>
        <w:tc>
          <w:tcPr>
            <w:tcW w:w="1842" w:type="dxa"/>
            <w:tcBorders>
              <w:top w:val="nil"/>
              <w:left w:val="nil"/>
              <w:bottom w:val="nil"/>
              <w:right w:val="nil"/>
            </w:tcBorders>
          </w:tcPr>
          <w:p w:rsidR="001D121B" w:rsidRPr="00AF78CA" w:rsidRDefault="001D121B" w:rsidP="001D121B">
            <w:pPr>
              <w:jc w:val="center"/>
              <w:rPr>
                <w:sz w:val="24"/>
                <w:szCs w:val="24"/>
                <w:lang w:val="en-GB"/>
              </w:rPr>
            </w:pPr>
            <w:r w:rsidRPr="00AF78CA">
              <w:rPr>
                <w:sz w:val="24"/>
                <w:szCs w:val="24"/>
              </w:rPr>
              <w:t>&gt; 6,5</w:t>
            </w:r>
          </w:p>
        </w:tc>
        <w:tc>
          <w:tcPr>
            <w:tcW w:w="1843" w:type="dxa"/>
            <w:tcBorders>
              <w:top w:val="nil"/>
              <w:left w:val="nil"/>
              <w:bottom w:val="nil"/>
              <w:right w:val="nil"/>
            </w:tcBorders>
          </w:tcPr>
          <w:p w:rsidR="001D121B" w:rsidRPr="00AF78CA" w:rsidRDefault="001D121B" w:rsidP="001D121B">
            <w:pPr>
              <w:jc w:val="center"/>
              <w:rPr>
                <w:sz w:val="24"/>
                <w:szCs w:val="24"/>
                <w:lang w:val="en-GB"/>
              </w:rPr>
            </w:pPr>
            <w:r w:rsidRPr="00AF78CA">
              <w:rPr>
                <w:sz w:val="24"/>
                <w:szCs w:val="24"/>
                <w:lang w:val="en-GB"/>
              </w:rPr>
              <w:t>300</w:t>
            </w:r>
          </w:p>
        </w:tc>
        <w:tc>
          <w:tcPr>
            <w:tcW w:w="1843" w:type="dxa"/>
            <w:tcBorders>
              <w:top w:val="nil"/>
              <w:left w:val="nil"/>
              <w:bottom w:val="nil"/>
            </w:tcBorders>
          </w:tcPr>
          <w:p w:rsidR="001D121B" w:rsidRPr="00AF78CA" w:rsidRDefault="001D121B" w:rsidP="001D121B">
            <w:pPr>
              <w:jc w:val="center"/>
              <w:rPr>
                <w:sz w:val="24"/>
                <w:szCs w:val="24"/>
                <w:lang w:val="en-GB"/>
              </w:rPr>
            </w:pPr>
            <w:r w:rsidRPr="00AF78CA">
              <w:rPr>
                <w:sz w:val="24"/>
                <w:szCs w:val="24"/>
                <w:lang w:val="en-GB"/>
              </w:rPr>
              <w:t>-</w:t>
            </w:r>
          </w:p>
        </w:tc>
      </w:tr>
      <w:tr w:rsidR="001D121B" w:rsidRPr="00AF78CA" w:rsidTr="001D121B">
        <w:tc>
          <w:tcPr>
            <w:tcW w:w="1842" w:type="dxa"/>
            <w:vMerge/>
            <w:tcBorders>
              <w:right w:val="nil"/>
            </w:tcBorders>
          </w:tcPr>
          <w:p w:rsidR="001D121B" w:rsidRPr="00AF78CA" w:rsidRDefault="001D121B" w:rsidP="001D121B">
            <w:pPr>
              <w:jc w:val="center"/>
              <w:rPr>
                <w:sz w:val="24"/>
                <w:szCs w:val="24"/>
                <w:lang w:val="en-GB"/>
              </w:rPr>
            </w:pPr>
          </w:p>
        </w:tc>
        <w:tc>
          <w:tcPr>
            <w:tcW w:w="1842" w:type="dxa"/>
            <w:tcBorders>
              <w:top w:val="nil"/>
              <w:left w:val="nil"/>
              <w:bottom w:val="single" w:sz="4" w:space="0" w:color="auto"/>
              <w:right w:val="nil"/>
            </w:tcBorders>
          </w:tcPr>
          <w:p w:rsidR="001D121B" w:rsidRPr="00AF78CA" w:rsidRDefault="001D121B" w:rsidP="001D121B">
            <w:pPr>
              <w:jc w:val="center"/>
              <w:rPr>
                <w:sz w:val="24"/>
                <w:szCs w:val="24"/>
                <w:lang w:val="en-GB"/>
              </w:rPr>
            </w:pPr>
          </w:p>
        </w:tc>
        <w:tc>
          <w:tcPr>
            <w:tcW w:w="1842" w:type="dxa"/>
            <w:tcBorders>
              <w:top w:val="nil"/>
              <w:left w:val="nil"/>
              <w:bottom w:val="single" w:sz="4" w:space="0" w:color="auto"/>
              <w:right w:val="nil"/>
            </w:tcBorders>
          </w:tcPr>
          <w:p w:rsidR="001D121B" w:rsidRPr="00AF78CA" w:rsidRDefault="001D121B" w:rsidP="001D121B">
            <w:pPr>
              <w:jc w:val="center"/>
              <w:rPr>
                <w:sz w:val="24"/>
                <w:szCs w:val="24"/>
                <w:lang w:val="en-GB"/>
              </w:rPr>
            </w:pPr>
            <w:r w:rsidRPr="00AF78CA">
              <w:rPr>
                <w:sz w:val="24"/>
                <w:szCs w:val="24"/>
              </w:rPr>
              <w:t>-</w:t>
            </w:r>
          </w:p>
        </w:tc>
        <w:tc>
          <w:tcPr>
            <w:tcW w:w="1843" w:type="dxa"/>
            <w:tcBorders>
              <w:top w:val="nil"/>
              <w:left w:val="nil"/>
              <w:bottom w:val="single" w:sz="4" w:space="0" w:color="auto"/>
              <w:right w:val="nil"/>
            </w:tcBorders>
          </w:tcPr>
          <w:p w:rsidR="001D121B" w:rsidRPr="00AF78CA" w:rsidRDefault="001D121B" w:rsidP="001D121B">
            <w:pPr>
              <w:jc w:val="center"/>
              <w:rPr>
                <w:sz w:val="24"/>
                <w:szCs w:val="24"/>
                <w:lang w:val="en-GB"/>
              </w:rPr>
            </w:pPr>
            <w:r w:rsidRPr="00AF78CA">
              <w:rPr>
                <w:sz w:val="24"/>
                <w:szCs w:val="24"/>
                <w:lang w:val="en-GB"/>
              </w:rPr>
              <w:t>-</w:t>
            </w:r>
          </w:p>
        </w:tc>
        <w:tc>
          <w:tcPr>
            <w:tcW w:w="1843" w:type="dxa"/>
            <w:tcBorders>
              <w:top w:val="nil"/>
              <w:left w:val="nil"/>
              <w:bottom w:val="single" w:sz="4" w:space="0" w:color="auto"/>
            </w:tcBorders>
          </w:tcPr>
          <w:p w:rsidR="001D121B" w:rsidRPr="00AF78CA" w:rsidRDefault="001D121B" w:rsidP="001D121B">
            <w:pPr>
              <w:jc w:val="center"/>
              <w:rPr>
                <w:sz w:val="24"/>
                <w:szCs w:val="24"/>
                <w:lang w:val="en-GB"/>
              </w:rPr>
            </w:pPr>
            <w:r w:rsidRPr="00AF78CA">
              <w:rPr>
                <w:sz w:val="24"/>
                <w:szCs w:val="24"/>
                <w:lang w:val="en-GB"/>
              </w:rPr>
              <w:t>1.0</w:t>
            </w:r>
          </w:p>
        </w:tc>
      </w:tr>
      <w:tr w:rsidR="001D121B" w:rsidRPr="00AF78CA" w:rsidTr="001D121B">
        <w:tc>
          <w:tcPr>
            <w:tcW w:w="1842" w:type="dxa"/>
            <w:vMerge w:val="restart"/>
            <w:tcBorders>
              <w:right w:val="nil"/>
            </w:tcBorders>
          </w:tcPr>
          <w:p w:rsidR="001D121B" w:rsidRPr="00AF78CA" w:rsidRDefault="001D121B" w:rsidP="001D121B">
            <w:pPr>
              <w:jc w:val="center"/>
              <w:rPr>
                <w:sz w:val="24"/>
                <w:szCs w:val="24"/>
                <w:lang w:val="en-GB"/>
              </w:rPr>
            </w:pPr>
            <w:r w:rsidRPr="00AF78CA">
              <w:rPr>
                <w:sz w:val="24"/>
                <w:szCs w:val="24"/>
                <w:lang w:val="en-GB"/>
              </w:rPr>
              <w:t>Ni</w:t>
            </w:r>
          </w:p>
        </w:tc>
        <w:tc>
          <w:tcPr>
            <w:tcW w:w="1842" w:type="dxa"/>
            <w:tcBorders>
              <w:left w:val="nil"/>
              <w:bottom w:val="nil"/>
              <w:right w:val="nil"/>
            </w:tcBorders>
          </w:tcPr>
          <w:p w:rsidR="001D121B" w:rsidRPr="00AF78CA" w:rsidRDefault="001D121B" w:rsidP="001D121B">
            <w:pPr>
              <w:jc w:val="center"/>
              <w:rPr>
                <w:sz w:val="24"/>
                <w:szCs w:val="24"/>
                <w:lang w:val="en-GB"/>
              </w:rPr>
            </w:pPr>
          </w:p>
        </w:tc>
        <w:tc>
          <w:tcPr>
            <w:tcW w:w="1842" w:type="dxa"/>
            <w:tcBorders>
              <w:left w:val="nil"/>
              <w:bottom w:val="nil"/>
              <w:right w:val="nil"/>
            </w:tcBorders>
          </w:tcPr>
          <w:p w:rsidR="001D121B" w:rsidRPr="00AF78CA" w:rsidRDefault="001D121B" w:rsidP="001D121B">
            <w:pPr>
              <w:jc w:val="center"/>
              <w:rPr>
                <w:sz w:val="24"/>
                <w:szCs w:val="24"/>
                <w:lang w:val="en-GB"/>
              </w:rPr>
            </w:pPr>
          </w:p>
        </w:tc>
        <w:tc>
          <w:tcPr>
            <w:tcW w:w="1843" w:type="dxa"/>
            <w:tcBorders>
              <w:left w:val="nil"/>
              <w:bottom w:val="nil"/>
              <w:right w:val="nil"/>
            </w:tcBorders>
          </w:tcPr>
          <w:p w:rsidR="001D121B" w:rsidRPr="00AF78CA" w:rsidRDefault="001D121B" w:rsidP="001D121B">
            <w:pPr>
              <w:jc w:val="center"/>
              <w:rPr>
                <w:sz w:val="24"/>
                <w:szCs w:val="24"/>
                <w:lang w:val="en-GB"/>
              </w:rPr>
            </w:pPr>
          </w:p>
        </w:tc>
        <w:tc>
          <w:tcPr>
            <w:tcW w:w="1843" w:type="dxa"/>
            <w:tcBorders>
              <w:left w:val="nil"/>
              <w:bottom w:val="nil"/>
            </w:tcBorders>
          </w:tcPr>
          <w:p w:rsidR="001D121B" w:rsidRPr="00AF78CA" w:rsidRDefault="001D121B" w:rsidP="001D121B">
            <w:pPr>
              <w:jc w:val="center"/>
              <w:rPr>
                <w:sz w:val="24"/>
                <w:szCs w:val="24"/>
                <w:lang w:val="en-GB"/>
              </w:rPr>
            </w:pPr>
          </w:p>
        </w:tc>
      </w:tr>
      <w:tr w:rsidR="001D121B" w:rsidRPr="00AF78CA" w:rsidTr="001D121B">
        <w:tc>
          <w:tcPr>
            <w:tcW w:w="1842" w:type="dxa"/>
            <w:vMerge/>
            <w:tcBorders>
              <w:right w:val="nil"/>
            </w:tcBorders>
          </w:tcPr>
          <w:p w:rsidR="001D121B" w:rsidRPr="00AF78CA" w:rsidRDefault="001D121B" w:rsidP="001D121B">
            <w:pPr>
              <w:jc w:val="center"/>
              <w:rPr>
                <w:sz w:val="24"/>
                <w:szCs w:val="24"/>
                <w:lang w:val="en-GB"/>
              </w:rPr>
            </w:pPr>
          </w:p>
        </w:tc>
        <w:tc>
          <w:tcPr>
            <w:tcW w:w="1842" w:type="dxa"/>
            <w:tcBorders>
              <w:top w:val="nil"/>
              <w:left w:val="nil"/>
              <w:bottom w:val="nil"/>
              <w:right w:val="nil"/>
            </w:tcBorders>
          </w:tcPr>
          <w:p w:rsidR="001D121B" w:rsidRPr="00AF78CA" w:rsidRDefault="001D121B" w:rsidP="001D121B">
            <w:pPr>
              <w:jc w:val="center"/>
              <w:rPr>
                <w:sz w:val="24"/>
                <w:szCs w:val="24"/>
                <w:lang w:val="en-GB"/>
              </w:rPr>
            </w:pPr>
          </w:p>
        </w:tc>
        <w:tc>
          <w:tcPr>
            <w:tcW w:w="1842" w:type="dxa"/>
            <w:tcBorders>
              <w:top w:val="nil"/>
              <w:left w:val="nil"/>
              <w:bottom w:val="nil"/>
              <w:right w:val="nil"/>
            </w:tcBorders>
          </w:tcPr>
          <w:p w:rsidR="001D121B" w:rsidRPr="00AF78CA" w:rsidRDefault="001D121B" w:rsidP="001D121B">
            <w:pPr>
              <w:jc w:val="center"/>
              <w:rPr>
                <w:sz w:val="24"/>
                <w:szCs w:val="24"/>
                <w:lang w:val="en-GB"/>
              </w:rPr>
            </w:pPr>
            <w:r w:rsidRPr="00AF78CA">
              <w:rPr>
                <w:sz w:val="24"/>
                <w:szCs w:val="24"/>
                <w:lang w:val="en-GB"/>
              </w:rPr>
              <w:t>≤ 6.5</w:t>
            </w:r>
          </w:p>
        </w:tc>
        <w:tc>
          <w:tcPr>
            <w:tcW w:w="1843" w:type="dxa"/>
            <w:tcBorders>
              <w:top w:val="nil"/>
              <w:left w:val="nil"/>
              <w:bottom w:val="nil"/>
              <w:right w:val="nil"/>
            </w:tcBorders>
          </w:tcPr>
          <w:p w:rsidR="001D121B" w:rsidRPr="00AF78CA" w:rsidRDefault="001D121B" w:rsidP="001D121B">
            <w:pPr>
              <w:jc w:val="center"/>
              <w:rPr>
                <w:sz w:val="24"/>
                <w:szCs w:val="24"/>
                <w:lang w:val="en-GB"/>
              </w:rPr>
            </w:pPr>
            <w:r w:rsidRPr="00AF78CA">
              <w:rPr>
                <w:sz w:val="24"/>
                <w:szCs w:val="24"/>
                <w:lang w:val="en-GB"/>
              </w:rPr>
              <w:t>150</w:t>
            </w:r>
          </w:p>
        </w:tc>
        <w:tc>
          <w:tcPr>
            <w:tcW w:w="1843" w:type="dxa"/>
            <w:tcBorders>
              <w:top w:val="nil"/>
              <w:left w:val="nil"/>
              <w:bottom w:val="nil"/>
            </w:tcBorders>
          </w:tcPr>
          <w:p w:rsidR="001D121B" w:rsidRPr="00AF78CA" w:rsidRDefault="001D121B" w:rsidP="001D121B">
            <w:pPr>
              <w:jc w:val="center"/>
              <w:rPr>
                <w:sz w:val="24"/>
                <w:szCs w:val="24"/>
                <w:lang w:val="en-GB"/>
              </w:rPr>
            </w:pPr>
            <w:r w:rsidRPr="00AF78CA">
              <w:rPr>
                <w:sz w:val="24"/>
                <w:szCs w:val="24"/>
                <w:lang w:val="en-GB"/>
              </w:rPr>
              <w:t>-</w:t>
            </w:r>
          </w:p>
        </w:tc>
      </w:tr>
      <w:tr w:rsidR="001D121B" w:rsidRPr="00AF78CA" w:rsidTr="001D121B">
        <w:tc>
          <w:tcPr>
            <w:tcW w:w="1842" w:type="dxa"/>
            <w:vMerge/>
            <w:tcBorders>
              <w:right w:val="nil"/>
            </w:tcBorders>
          </w:tcPr>
          <w:p w:rsidR="001D121B" w:rsidRPr="00AF78CA" w:rsidRDefault="001D121B" w:rsidP="001D121B">
            <w:pPr>
              <w:jc w:val="center"/>
              <w:rPr>
                <w:sz w:val="24"/>
                <w:szCs w:val="24"/>
                <w:lang w:val="en-GB"/>
              </w:rPr>
            </w:pPr>
          </w:p>
        </w:tc>
        <w:tc>
          <w:tcPr>
            <w:tcW w:w="1842" w:type="dxa"/>
            <w:tcBorders>
              <w:top w:val="nil"/>
              <w:left w:val="nil"/>
              <w:bottom w:val="nil"/>
              <w:right w:val="nil"/>
            </w:tcBorders>
          </w:tcPr>
          <w:p w:rsidR="001D121B" w:rsidRPr="00AF78CA" w:rsidRDefault="001D121B" w:rsidP="001D121B">
            <w:pPr>
              <w:jc w:val="center"/>
              <w:rPr>
                <w:sz w:val="24"/>
                <w:szCs w:val="24"/>
                <w:lang w:val="en-GB"/>
              </w:rPr>
            </w:pPr>
          </w:p>
        </w:tc>
        <w:tc>
          <w:tcPr>
            <w:tcW w:w="1842" w:type="dxa"/>
            <w:tcBorders>
              <w:top w:val="nil"/>
              <w:left w:val="nil"/>
              <w:bottom w:val="nil"/>
              <w:right w:val="nil"/>
            </w:tcBorders>
          </w:tcPr>
          <w:p w:rsidR="001D121B" w:rsidRPr="00AF78CA" w:rsidRDefault="001D121B" w:rsidP="001D121B">
            <w:pPr>
              <w:jc w:val="center"/>
              <w:rPr>
                <w:sz w:val="24"/>
                <w:szCs w:val="24"/>
                <w:lang w:val="en-GB"/>
              </w:rPr>
            </w:pPr>
            <w:r w:rsidRPr="00AF78CA">
              <w:rPr>
                <w:sz w:val="24"/>
                <w:szCs w:val="24"/>
              </w:rPr>
              <w:t>&gt; 6,5</w:t>
            </w:r>
          </w:p>
        </w:tc>
        <w:tc>
          <w:tcPr>
            <w:tcW w:w="1843" w:type="dxa"/>
            <w:tcBorders>
              <w:top w:val="nil"/>
              <w:left w:val="nil"/>
              <w:bottom w:val="nil"/>
              <w:right w:val="nil"/>
            </w:tcBorders>
          </w:tcPr>
          <w:p w:rsidR="001D121B" w:rsidRPr="00AF78CA" w:rsidRDefault="001D121B" w:rsidP="001D121B">
            <w:pPr>
              <w:jc w:val="center"/>
              <w:rPr>
                <w:sz w:val="24"/>
                <w:szCs w:val="24"/>
                <w:lang w:val="en-GB"/>
              </w:rPr>
            </w:pPr>
            <w:r w:rsidRPr="00AF78CA">
              <w:rPr>
                <w:sz w:val="24"/>
                <w:szCs w:val="24"/>
                <w:lang w:val="en-GB"/>
              </w:rPr>
              <w:t>200</w:t>
            </w:r>
          </w:p>
        </w:tc>
        <w:tc>
          <w:tcPr>
            <w:tcW w:w="1843" w:type="dxa"/>
            <w:tcBorders>
              <w:top w:val="nil"/>
              <w:left w:val="nil"/>
              <w:bottom w:val="nil"/>
            </w:tcBorders>
          </w:tcPr>
          <w:p w:rsidR="001D121B" w:rsidRPr="00AF78CA" w:rsidRDefault="001D121B" w:rsidP="001D121B">
            <w:pPr>
              <w:jc w:val="center"/>
              <w:rPr>
                <w:sz w:val="24"/>
                <w:szCs w:val="24"/>
                <w:lang w:val="en-GB"/>
              </w:rPr>
            </w:pPr>
            <w:r w:rsidRPr="00AF78CA">
              <w:rPr>
                <w:sz w:val="24"/>
                <w:szCs w:val="24"/>
                <w:lang w:val="en-GB"/>
              </w:rPr>
              <w:t>-</w:t>
            </w:r>
          </w:p>
        </w:tc>
      </w:tr>
      <w:tr w:rsidR="001D121B" w:rsidRPr="00AF78CA" w:rsidTr="001D121B">
        <w:tc>
          <w:tcPr>
            <w:tcW w:w="1842" w:type="dxa"/>
            <w:vMerge/>
            <w:tcBorders>
              <w:right w:val="nil"/>
            </w:tcBorders>
          </w:tcPr>
          <w:p w:rsidR="001D121B" w:rsidRPr="00AF78CA" w:rsidRDefault="001D121B" w:rsidP="001D121B">
            <w:pPr>
              <w:jc w:val="center"/>
              <w:rPr>
                <w:sz w:val="24"/>
                <w:szCs w:val="24"/>
                <w:lang w:val="en-GB"/>
              </w:rPr>
            </w:pPr>
          </w:p>
        </w:tc>
        <w:tc>
          <w:tcPr>
            <w:tcW w:w="1842" w:type="dxa"/>
            <w:tcBorders>
              <w:top w:val="nil"/>
              <w:left w:val="nil"/>
              <w:bottom w:val="single" w:sz="4" w:space="0" w:color="auto"/>
              <w:right w:val="nil"/>
            </w:tcBorders>
          </w:tcPr>
          <w:p w:rsidR="001D121B" w:rsidRPr="00AF78CA" w:rsidRDefault="001D121B" w:rsidP="001D121B">
            <w:pPr>
              <w:jc w:val="center"/>
              <w:rPr>
                <w:sz w:val="24"/>
                <w:szCs w:val="24"/>
                <w:lang w:val="en-GB"/>
              </w:rPr>
            </w:pPr>
          </w:p>
        </w:tc>
        <w:tc>
          <w:tcPr>
            <w:tcW w:w="1842" w:type="dxa"/>
            <w:tcBorders>
              <w:top w:val="nil"/>
              <w:left w:val="nil"/>
              <w:bottom w:val="single" w:sz="4" w:space="0" w:color="auto"/>
              <w:right w:val="nil"/>
            </w:tcBorders>
          </w:tcPr>
          <w:p w:rsidR="001D121B" w:rsidRPr="00AF78CA" w:rsidRDefault="001D121B" w:rsidP="001D121B">
            <w:pPr>
              <w:jc w:val="center"/>
              <w:rPr>
                <w:sz w:val="24"/>
                <w:szCs w:val="24"/>
                <w:lang w:val="en-GB"/>
              </w:rPr>
            </w:pPr>
            <w:r w:rsidRPr="00AF78CA">
              <w:rPr>
                <w:sz w:val="24"/>
                <w:szCs w:val="24"/>
              </w:rPr>
              <w:t>-</w:t>
            </w:r>
          </w:p>
        </w:tc>
        <w:tc>
          <w:tcPr>
            <w:tcW w:w="1843" w:type="dxa"/>
            <w:tcBorders>
              <w:top w:val="nil"/>
              <w:left w:val="nil"/>
              <w:bottom w:val="single" w:sz="4" w:space="0" w:color="auto"/>
              <w:right w:val="nil"/>
            </w:tcBorders>
          </w:tcPr>
          <w:p w:rsidR="001D121B" w:rsidRPr="00AF78CA" w:rsidRDefault="001D121B" w:rsidP="001D121B">
            <w:pPr>
              <w:jc w:val="center"/>
              <w:rPr>
                <w:sz w:val="24"/>
                <w:szCs w:val="24"/>
                <w:lang w:val="en-GB"/>
              </w:rPr>
            </w:pPr>
            <w:r w:rsidRPr="00AF78CA">
              <w:rPr>
                <w:sz w:val="24"/>
                <w:szCs w:val="24"/>
                <w:lang w:val="en-GB"/>
              </w:rPr>
              <w:t>-</w:t>
            </w:r>
          </w:p>
        </w:tc>
        <w:tc>
          <w:tcPr>
            <w:tcW w:w="1843" w:type="dxa"/>
            <w:tcBorders>
              <w:top w:val="nil"/>
              <w:left w:val="nil"/>
              <w:bottom w:val="single" w:sz="4" w:space="0" w:color="auto"/>
            </w:tcBorders>
          </w:tcPr>
          <w:p w:rsidR="001D121B" w:rsidRPr="00AF78CA" w:rsidRDefault="001D121B" w:rsidP="001D121B">
            <w:pPr>
              <w:jc w:val="center"/>
              <w:rPr>
                <w:sz w:val="24"/>
                <w:szCs w:val="24"/>
                <w:lang w:val="en-GB"/>
              </w:rPr>
            </w:pPr>
            <w:r w:rsidRPr="00AF78CA">
              <w:rPr>
                <w:sz w:val="24"/>
                <w:szCs w:val="24"/>
                <w:lang w:val="en-GB"/>
              </w:rPr>
              <w:t>1.0</w:t>
            </w:r>
          </w:p>
        </w:tc>
      </w:tr>
      <w:tr w:rsidR="001D121B" w:rsidRPr="00AF78CA" w:rsidTr="001D121B">
        <w:tc>
          <w:tcPr>
            <w:tcW w:w="1842" w:type="dxa"/>
            <w:vMerge w:val="restart"/>
            <w:tcBorders>
              <w:right w:val="nil"/>
            </w:tcBorders>
          </w:tcPr>
          <w:p w:rsidR="001D121B" w:rsidRPr="00AF78CA" w:rsidRDefault="001D121B" w:rsidP="001D121B">
            <w:pPr>
              <w:jc w:val="center"/>
              <w:rPr>
                <w:sz w:val="24"/>
                <w:szCs w:val="24"/>
                <w:lang w:val="en-GB"/>
              </w:rPr>
            </w:pPr>
            <w:r w:rsidRPr="00AF78CA">
              <w:rPr>
                <w:sz w:val="24"/>
                <w:szCs w:val="24"/>
                <w:lang w:val="en-GB"/>
              </w:rPr>
              <w:t>Zn</w:t>
            </w:r>
          </w:p>
        </w:tc>
        <w:tc>
          <w:tcPr>
            <w:tcW w:w="1842" w:type="dxa"/>
            <w:tcBorders>
              <w:left w:val="nil"/>
              <w:bottom w:val="nil"/>
              <w:right w:val="nil"/>
            </w:tcBorders>
          </w:tcPr>
          <w:p w:rsidR="001D121B" w:rsidRPr="00AF78CA" w:rsidRDefault="001D121B" w:rsidP="001D121B">
            <w:pPr>
              <w:jc w:val="center"/>
              <w:rPr>
                <w:sz w:val="24"/>
                <w:szCs w:val="24"/>
                <w:lang w:val="en-GB"/>
              </w:rPr>
            </w:pPr>
          </w:p>
        </w:tc>
        <w:tc>
          <w:tcPr>
            <w:tcW w:w="1842" w:type="dxa"/>
            <w:tcBorders>
              <w:left w:val="nil"/>
              <w:bottom w:val="nil"/>
              <w:right w:val="nil"/>
            </w:tcBorders>
          </w:tcPr>
          <w:p w:rsidR="001D121B" w:rsidRPr="00AF78CA" w:rsidRDefault="001D121B" w:rsidP="001D121B">
            <w:pPr>
              <w:jc w:val="center"/>
              <w:rPr>
                <w:sz w:val="24"/>
                <w:szCs w:val="24"/>
                <w:lang w:val="en-GB"/>
              </w:rPr>
            </w:pPr>
          </w:p>
        </w:tc>
        <w:tc>
          <w:tcPr>
            <w:tcW w:w="1843" w:type="dxa"/>
            <w:tcBorders>
              <w:left w:val="nil"/>
              <w:bottom w:val="nil"/>
              <w:right w:val="nil"/>
            </w:tcBorders>
          </w:tcPr>
          <w:p w:rsidR="001D121B" w:rsidRPr="00AF78CA" w:rsidRDefault="001D121B" w:rsidP="001D121B">
            <w:pPr>
              <w:jc w:val="center"/>
              <w:rPr>
                <w:sz w:val="24"/>
                <w:szCs w:val="24"/>
                <w:lang w:val="en-GB"/>
              </w:rPr>
            </w:pPr>
            <w:r w:rsidRPr="00AF78CA">
              <w:rPr>
                <w:sz w:val="24"/>
                <w:szCs w:val="24"/>
                <w:lang w:val="en-GB"/>
              </w:rPr>
              <w:t>400</w:t>
            </w:r>
          </w:p>
        </w:tc>
        <w:tc>
          <w:tcPr>
            <w:tcW w:w="1843" w:type="dxa"/>
            <w:tcBorders>
              <w:left w:val="nil"/>
              <w:bottom w:val="nil"/>
            </w:tcBorders>
          </w:tcPr>
          <w:p w:rsidR="001D121B" w:rsidRPr="00AF78CA" w:rsidRDefault="001D121B" w:rsidP="001D121B">
            <w:pPr>
              <w:jc w:val="center"/>
              <w:rPr>
                <w:sz w:val="24"/>
                <w:szCs w:val="24"/>
                <w:lang w:val="en-GB"/>
              </w:rPr>
            </w:pPr>
            <w:r w:rsidRPr="00AF78CA">
              <w:rPr>
                <w:sz w:val="24"/>
                <w:szCs w:val="24"/>
                <w:lang w:val="en-GB"/>
              </w:rPr>
              <w:t>-</w:t>
            </w:r>
          </w:p>
        </w:tc>
      </w:tr>
      <w:tr w:rsidR="001D121B" w:rsidRPr="00AF78CA" w:rsidTr="001D121B">
        <w:tc>
          <w:tcPr>
            <w:tcW w:w="1842" w:type="dxa"/>
            <w:vMerge/>
            <w:tcBorders>
              <w:right w:val="nil"/>
            </w:tcBorders>
          </w:tcPr>
          <w:p w:rsidR="001D121B" w:rsidRPr="00AF78CA" w:rsidRDefault="001D121B" w:rsidP="001D121B">
            <w:pPr>
              <w:jc w:val="center"/>
              <w:rPr>
                <w:sz w:val="24"/>
                <w:szCs w:val="24"/>
                <w:lang w:val="en-GB"/>
              </w:rPr>
            </w:pPr>
          </w:p>
        </w:tc>
        <w:tc>
          <w:tcPr>
            <w:tcW w:w="1842" w:type="dxa"/>
            <w:tcBorders>
              <w:top w:val="nil"/>
              <w:left w:val="nil"/>
              <w:right w:val="nil"/>
            </w:tcBorders>
          </w:tcPr>
          <w:p w:rsidR="001D121B" w:rsidRPr="00AF78CA" w:rsidRDefault="001D121B" w:rsidP="001D121B">
            <w:pPr>
              <w:jc w:val="center"/>
              <w:rPr>
                <w:sz w:val="24"/>
                <w:szCs w:val="24"/>
                <w:lang w:val="en-GB"/>
              </w:rPr>
            </w:pPr>
          </w:p>
        </w:tc>
        <w:tc>
          <w:tcPr>
            <w:tcW w:w="1842" w:type="dxa"/>
            <w:tcBorders>
              <w:top w:val="nil"/>
              <w:left w:val="nil"/>
              <w:right w:val="nil"/>
            </w:tcBorders>
          </w:tcPr>
          <w:p w:rsidR="001D121B" w:rsidRPr="00AF78CA" w:rsidRDefault="001D121B" w:rsidP="001D121B">
            <w:pPr>
              <w:jc w:val="center"/>
              <w:rPr>
                <w:sz w:val="24"/>
                <w:szCs w:val="24"/>
                <w:lang w:val="en-GB"/>
              </w:rPr>
            </w:pPr>
          </w:p>
        </w:tc>
        <w:tc>
          <w:tcPr>
            <w:tcW w:w="1843" w:type="dxa"/>
            <w:tcBorders>
              <w:top w:val="nil"/>
              <w:left w:val="nil"/>
              <w:right w:val="nil"/>
            </w:tcBorders>
          </w:tcPr>
          <w:p w:rsidR="001D121B" w:rsidRPr="00AF78CA" w:rsidRDefault="001D121B" w:rsidP="001D121B">
            <w:pPr>
              <w:jc w:val="center"/>
              <w:rPr>
                <w:sz w:val="24"/>
                <w:szCs w:val="24"/>
                <w:lang w:val="en-GB"/>
              </w:rPr>
            </w:pPr>
            <w:r w:rsidRPr="00AF78CA">
              <w:rPr>
                <w:sz w:val="24"/>
                <w:szCs w:val="24"/>
                <w:lang w:val="en-GB"/>
              </w:rPr>
              <w:t>-</w:t>
            </w:r>
          </w:p>
        </w:tc>
        <w:tc>
          <w:tcPr>
            <w:tcW w:w="1843" w:type="dxa"/>
            <w:tcBorders>
              <w:top w:val="nil"/>
              <w:left w:val="nil"/>
            </w:tcBorders>
          </w:tcPr>
          <w:p w:rsidR="001D121B" w:rsidRPr="00AF78CA" w:rsidRDefault="001D121B" w:rsidP="001D121B">
            <w:pPr>
              <w:jc w:val="center"/>
              <w:rPr>
                <w:sz w:val="24"/>
                <w:szCs w:val="24"/>
                <w:lang w:val="en-GB"/>
              </w:rPr>
            </w:pPr>
            <w:r w:rsidRPr="00AF78CA">
              <w:rPr>
                <w:sz w:val="24"/>
                <w:szCs w:val="24"/>
                <w:lang w:val="en-GB"/>
              </w:rPr>
              <w:t>20</w:t>
            </w:r>
          </w:p>
        </w:tc>
      </w:tr>
    </w:tbl>
    <w:p w:rsidR="001D121B" w:rsidRPr="00AF78CA" w:rsidRDefault="001D121B" w:rsidP="001D121B">
      <w:pPr>
        <w:spacing w:before="240" w:after="0" w:line="240" w:lineRule="auto"/>
        <w:rPr>
          <w:rFonts w:ascii="Times New Roman" w:hAnsi="Times New Roman" w:cs="Times New Roman"/>
          <w:sz w:val="24"/>
          <w:szCs w:val="24"/>
        </w:rPr>
      </w:pPr>
      <w:r w:rsidRPr="00AF78CA">
        <w:rPr>
          <w:rFonts w:ascii="Times New Roman" w:hAnsi="Times New Roman" w:cs="Times New Roman"/>
          <w:sz w:val="24"/>
          <w:szCs w:val="24"/>
        </w:rPr>
        <w:t>Indikační hodnoty rizikových prvků, při jejichž překročení může být ohroženo zdraví lidí a zvířat (mg/kg sušiny) dle vyhlášky MŽP č. 153/2016 Sb.</w:t>
      </w:r>
    </w:p>
    <w:tbl>
      <w:tblPr>
        <w:tblStyle w:val="Mkatabulky"/>
        <w:tblW w:w="0" w:type="auto"/>
        <w:tblInd w:w="360" w:type="dxa"/>
        <w:tblBorders>
          <w:insideV w:val="none" w:sz="0" w:space="0" w:color="auto"/>
        </w:tblBorders>
        <w:tblLook w:val="04A0" w:firstRow="1" w:lastRow="0" w:firstColumn="1" w:lastColumn="0" w:noHBand="0" w:noVBand="1"/>
      </w:tblPr>
      <w:tblGrid>
        <w:gridCol w:w="4339"/>
        <w:gridCol w:w="4361"/>
      </w:tblGrid>
      <w:tr w:rsidR="001D121B" w:rsidRPr="00AF78CA" w:rsidTr="001D121B">
        <w:tc>
          <w:tcPr>
            <w:tcW w:w="4339" w:type="dxa"/>
            <w:tcBorders>
              <w:bottom w:val="single" w:sz="4" w:space="0" w:color="auto"/>
            </w:tcBorders>
          </w:tcPr>
          <w:p w:rsidR="001D121B" w:rsidRPr="00AF78CA" w:rsidRDefault="001D121B" w:rsidP="001D121B">
            <w:pPr>
              <w:jc w:val="center"/>
              <w:rPr>
                <w:sz w:val="24"/>
                <w:szCs w:val="24"/>
                <w:lang w:val="en-GB"/>
              </w:rPr>
            </w:pPr>
            <w:proofErr w:type="spellStart"/>
            <w:r w:rsidRPr="00AF78CA">
              <w:rPr>
                <w:sz w:val="24"/>
                <w:szCs w:val="24"/>
                <w:lang w:val="en-GB"/>
              </w:rPr>
              <w:t>Prvek</w:t>
            </w:r>
            <w:proofErr w:type="spellEnd"/>
          </w:p>
        </w:tc>
        <w:tc>
          <w:tcPr>
            <w:tcW w:w="4361" w:type="dxa"/>
            <w:tcBorders>
              <w:bottom w:val="single" w:sz="4" w:space="0" w:color="auto"/>
            </w:tcBorders>
          </w:tcPr>
          <w:p w:rsidR="001D121B" w:rsidRPr="00AF78CA" w:rsidRDefault="001D121B" w:rsidP="001D121B">
            <w:pPr>
              <w:jc w:val="center"/>
              <w:rPr>
                <w:sz w:val="24"/>
                <w:szCs w:val="24"/>
                <w:lang w:val="en-GB"/>
              </w:rPr>
            </w:pPr>
            <w:proofErr w:type="spellStart"/>
            <w:r w:rsidRPr="00AF78CA">
              <w:rPr>
                <w:sz w:val="24"/>
                <w:szCs w:val="24"/>
                <w:lang w:val="en-GB"/>
              </w:rPr>
              <w:t>Indikační</w:t>
            </w:r>
            <w:proofErr w:type="spellEnd"/>
            <w:r w:rsidRPr="00AF78CA">
              <w:rPr>
                <w:sz w:val="24"/>
                <w:szCs w:val="24"/>
                <w:lang w:val="en-GB"/>
              </w:rPr>
              <w:t xml:space="preserve"> </w:t>
            </w:r>
            <w:proofErr w:type="spellStart"/>
            <w:r w:rsidRPr="00AF78CA">
              <w:rPr>
                <w:sz w:val="24"/>
                <w:szCs w:val="24"/>
                <w:lang w:val="en-GB"/>
              </w:rPr>
              <w:t>hodnota</w:t>
            </w:r>
            <w:proofErr w:type="spellEnd"/>
            <w:r w:rsidRPr="00AF78CA">
              <w:rPr>
                <w:sz w:val="24"/>
                <w:szCs w:val="24"/>
                <w:lang w:val="en-GB"/>
              </w:rPr>
              <w:t xml:space="preserve"> (mg/kg)</w:t>
            </w:r>
          </w:p>
        </w:tc>
      </w:tr>
      <w:tr w:rsidR="001D121B" w:rsidRPr="00AF78CA" w:rsidTr="001D121B">
        <w:tc>
          <w:tcPr>
            <w:tcW w:w="4339" w:type="dxa"/>
            <w:tcBorders>
              <w:bottom w:val="nil"/>
            </w:tcBorders>
          </w:tcPr>
          <w:p w:rsidR="001D121B" w:rsidRPr="00AF78CA" w:rsidRDefault="001D121B" w:rsidP="001D121B">
            <w:pPr>
              <w:jc w:val="center"/>
              <w:rPr>
                <w:sz w:val="24"/>
                <w:szCs w:val="24"/>
                <w:vertAlign w:val="superscript"/>
                <w:lang w:val="en-GB"/>
              </w:rPr>
            </w:pPr>
            <w:r w:rsidRPr="00AF78CA">
              <w:rPr>
                <w:sz w:val="24"/>
                <w:szCs w:val="24"/>
                <w:lang w:val="en-GB"/>
              </w:rPr>
              <w:t>As</w:t>
            </w:r>
          </w:p>
        </w:tc>
        <w:tc>
          <w:tcPr>
            <w:tcW w:w="4361" w:type="dxa"/>
            <w:tcBorders>
              <w:bottom w:val="nil"/>
            </w:tcBorders>
          </w:tcPr>
          <w:p w:rsidR="001D121B" w:rsidRPr="00AF78CA" w:rsidRDefault="001D121B" w:rsidP="001D121B">
            <w:pPr>
              <w:jc w:val="center"/>
              <w:rPr>
                <w:sz w:val="24"/>
                <w:szCs w:val="24"/>
                <w:lang w:val="en-GB"/>
              </w:rPr>
            </w:pPr>
            <w:r w:rsidRPr="00AF78CA">
              <w:rPr>
                <w:sz w:val="24"/>
                <w:szCs w:val="24"/>
                <w:lang w:val="en-GB"/>
              </w:rPr>
              <w:t>40</w:t>
            </w:r>
          </w:p>
        </w:tc>
      </w:tr>
      <w:tr w:rsidR="001D121B" w:rsidRPr="00AF78CA" w:rsidTr="001D121B">
        <w:tc>
          <w:tcPr>
            <w:tcW w:w="4339" w:type="dxa"/>
            <w:tcBorders>
              <w:top w:val="nil"/>
              <w:bottom w:val="nil"/>
            </w:tcBorders>
          </w:tcPr>
          <w:p w:rsidR="001D121B" w:rsidRPr="00AF78CA" w:rsidRDefault="001D121B" w:rsidP="001D121B">
            <w:pPr>
              <w:jc w:val="center"/>
              <w:rPr>
                <w:sz w:val="24"/>
                <w:szCs w:val="24"/>
                <w:vertAlign w:val="superscript"/>
                <w:lang w:val="en-GB"/>
              </w:rPr>
            </w:pPr>
            <w:r w:rsidRPr="00AF78CA">
              <w:rPr>
                <w:sz w:val="24"/>
                <w:szCs w:val="24"/>
                <w:lang w:val="en-GB"/>
              </w:rPr>
              <w:t>Cd</w:t>
            </w:r>
          </w:p>
        </w:tc>
        <w:tc>
          <w:tcPr>
            <w:tcW w:w="4361" w:type="dxa"/>
            <w:tcBorders>
              <w:top w:val="nil"/>
              <w:bottom w:val="nil"/>
            </w:tcBorders>
          </w:tcPr>
          <w:p w:rsidR="001D121B" w:rsidRPr="00AF78CA" w:rsidRDefault="001D121B" w:rsidP="001D121B">
            <w:pPr>
              <w:jc w:val="center"/>
              <w:rPr>
                <w:sz w:val="24"/>
                <w:szCs w:val="24"/>
                <w:lang w:val="en-GB"/>
              </w:rPr>
            </w:pPr>
            <w:r w:rsidRPr="00AF78CA">
              <w:rPr>
                <w:sz w:val="24"/>
                <w:szCs w:val="24"/>
                <w:lang w:val="en-GB"/>
              </w:rPr>
              <w:t>20</w:t>
            </w:r>
          </w:p>
        </w:tc>
      </w:tr>
      <w:tr w:rsidR="001D121B" w:rsidRPr="00AF78CA" w:rsidTr="001D121B">
        <w:tc>
          <w:tcPr>
            <w:tcW w:w="4339" w:type="dxa"/>
            <w:tcBorders>
              <w:top w:val="nil"/>
              <w:bottom w:val="nil"/>
            </w:tcBorders>
          </w:tcPr>
          <w:p w:rsidR="001D121B" w:rsidRPr="00AF78CA" w:rsidRDefault="001D121B" w:rsidP="001D121B">
            <w:pPr>
              <w:jc w:val="center"/>
              <w:rPr>
                <w:sz w:val="24"/>
                <w:szCs w:val="24"/>
                <w:vertAlign w:val="superscript"/>
                <w:lang w:val="en-GB"/>
              </w:rPr>
            </w:pPr>
            <w:r w:rsidRPr="00AF78CA">
              <w:rPr>
                <w:sz w:val="24"/>
                <w:szCs w:val="24"/>
                <w:lang w:val="en-GB"/>
              </w:rPr>
              <w:t xml:space="preserve">  Hg</w:t>
            </w:r>
            <w:r w:rsidRPr="00AF78CA">
              <w:rPr>
                <w:sz w:val="24"/>
                <w:szCs w:val="24"/>
                <w:vertAlign w:val="superscript"/>
                <w:lang w:val="en-GB"/>
              </w:rPr>
              <w:t>1)</w:t>
            </w:r>
          </w:p>
        </w:tc>
        <w:tc>
          <w:tcPr>
            <w:tcW w:w="4361" w:type="dxa"/>
            <w:tcBorders>
              <w:top w:val="nil"/>
              <w:bottom w:val="nil"/>
            </w:tcBorders>
          </w:tcPr>
          <w:p w:rsidR="001D121B" w:rsidRPr="00AF78CA" w:rsidRDefault="001D121B" w:rsidP="001D121B">
            <w:pPr>
              <w:jc w:val="center"/>
              <w:rPr>
                <w:sz w:val="24"/>
                <w:szCs w:val="24"/>
                <w:lang w:val="en-GB"/>
              </w:rPr>
            </w:pPr>
            <w:r w:rsidRPr="00AF78CA">
              <w:rPr>
                <w:sz w:val="24"/>
                <w:szCs w:val="24"/>
                <w:lang w:val="en-GB"/>
              </w:rPr>
              <w:t>20</w:t>
            </w:r>
          </w:p>
        </w:tc>
      </w:tr>
      <w:tr w:rsidR="001D121B" w:rsidRPr="00AF78CA" w:rsidTr="001D121B">
        <w:tc>
          <w:tcPr>
            <w:tcW w:w="4339" w:type="dxa"/>
            <w:tcBorders>
              <w:top w:val="nil"/>
              <w:bottom w:val="single" w:sz="4" w:space="0" w:color="auto"/>
            </w:tcBorders>
          </w:tcPr>
          <w:p w:rsidR="001D121B" w:rsidRPr="00AF78CA" w:rsidRDefault="001D121B" w:rsidP="001D121B">
            <w:pPr>
              <w:jc w:val="center"/>
              <w:rPr>
                <w:sz w:val="24"/>
                <w:szCs w:val="24"/>
                <w:vertAlign w:val="superscript"/>
                <w:lang w:val="en-GB"/>
              </w:rPr>
            </w:pPr>
            <w:proofErr w:type="spellStart"/>
            <w:r w:rsidRPr="00AF78CA">
              <w:rPr>
                <w:sz w:val="24"/>
                <w:szCs w:val="24"/>
                <w:lang w:val="en-GB"/>
              </w:rPr>
              <w:t>Pb</w:t>
            </w:r>
            <w:proofErr w:type="spellEnd"/>
          </w:p>
        </w:tc>
        <w:tc>
          <w:tcPr>
            <w:tcW w:w="4361" w:type="dxa"/>
            <w:tcBorders>
              <w:top w:val="nil"/>
              <w:bottom w:val="single" w:sz="4" w:space="0" w:color="auto"/>
            </w:tcBorders>
          </w:tcPr>
          <w:p w:rsidR="001D121B" w:rsidRPr="00AF78CA" w:rsidRDefault="001D121B" w:rsidP="001D121B">
            <w:pPr>
              <w:jc w:val="center"/>
              <w:rPr>
                <w:sz w:val="24"/>
                <w:szCs w:val="24"/>
                <w:lang w:val="en-GB"/>
              </w:rPr>
            </w:pPr>
            <w:r w:rsidRPr="00AF78CA">
              <w:rPr>
                <w:sz w:val="24"/>
                <w:szCs w:val="24"/>
                <w:lang w:val="en-GB"/>
              </w:rPr>
              <w:t>400</w:t>
            </w:r>
          </w:p>
        </w:tc>
      </w:tr>
    </w:tbl>
    <w:p w:rsidR="001D121B" w:rsidRPr="00AF78CA" w:rsidRDefault="001D121B" w:rsidP="001D121B">
      <w:pPr>
        <w:spacing w:after="0" w:line="240" w:lineRule="auto"/>
        <w:rPr>
          <w:rFonts w:ascii="Times New Roman" w:hAnsi="Times New Roman" w:cs="Times New Roman"/>
          <w:sz w:val="24"/>
          <w:szCs w:val="24"/>
        </w:rPr>
      </w:pPr>
      <w:r w:rsidRPr="00AF78CA">
        <w:rPr>
          <w:rFonts w:ascii="Times New Roman" w:hAnsi="Times New Roman" w:cs="Times New Roman"/>
          <w:sz w:val="24"/>
          <w:szCs w:val="24"/>
          <w:vertAlign w:val="superscript"/>
        </w:rPr>
        <w:t>1)</w:t>
      </w:r>
      <w:r w:rsidRPr="00AF78CA">
        <w:rPr>
          <w:rFonts w:ascii="Times New Roman" w:hAnsi="Times New Roman" w:cs="Times New Roman"/>
          <w:sz w:val="24"/>
          <w:szCs w:val="24"/>
        </w:rPr>
        <w:t>Celkový obsah</w:t>
      </w:r>
    </w:p>
    <w:p w:rsidR="001D121B" w:rsidRPr="00AF78CA" w:rsidRDefault="001D121B" w:rsidP="001D121B">
      <w:pPr>
        <w:spacing w:before="240" w:after="0" w:line="240" w:lineRule="auto"/>
        <w:rPr>
          <w:rFonts w:ascii="Times New Roman" w:hAnsi="Times New Roman" w:cs="Times New Roman"/>
          <w:sz w:val="24"/>
          <w:szCs w:val="24"/>
        </w:rPr>
      </w:pPr>
      <w:r w:rsidRPr="00AF78CA">
        <w:rPr>
          <w:rFonts w:ascii="Times New Roman" w:hAnsi="Times New Roman" w:cs="Times New Roman"/>
          <w:sz w:val="24"/>
          <w:szCs w:val="24"/>
        </w:rPr>
        <w:t>Indikační hodnoty rizikových látek, při jejichž překročení může být ohroženo zdraví lidí a zvířat (mg/kg sušiny) dle vyhlášky MŽP č. 153/2016 Sb.</w:t>
      </w:r>
    </w:p>
    <w:tbl>
      <w:tblPr>
        <w:tblStyle w:val="Mkatabulky"/>
        <w:tblW w:w="0" w:type="auto"/>
        <w:tblInd w:w="360" w:type="dxa"/>
        <w:tblLook w:val="04A0" w:firstRow="1" w:lastRow="0" w:firstColumn="1" w:lastColumn="0" w:noHBand="0" w:noVBand="1"/>
      </w:tblPr>
      <w:tblGrid>
        <w:gridCol w:w="4361"/>
        <w:gridCol w:w="4339"/>
      </w:tblGrid>
      <w:tr w:rsidR="001D121B" w:rsidRPr="00AF78CA" w:rsidTr="001D121B">
        <w:tc>
          <w:tcPr>
            <w:tcW w:w="4361" w:type="dxa"/>
          </w:tcPr>
          <w:p w:rsidR="001D121B" w:rsidRPr="00AF78CA" w:rsidRDefault="001D121B" w:rsidP="001D121B">
            <w:pPr>
              <w:rPr>
                <w:sz w:val="24"/>
                <w:szCs w:val="24"/>
                <w:lang w:val="en-GB"/>
              </w:rPr>
            </w:pPr>
            <w:proofErr w:type="spellStart"/>
            <w:r w:rsidRPr="00AF78CA">
              <w:rPr>
                <w:sz w:val="24"/>
                <w:szCs w:val="24"/>
                <w:lang w:val="en-GB"/>
              </w:rPr>
              <w:t>Sloučenina</w:t>
            </w:r>
            <w:proofErr w:type="spellEnd"/>
          </w:p>
        </w:tc>
        <w:tc>
          <w:tcPr>
            <w:tcW w:w="4339" w:type="dxa"/>
          </w:tcPr>
          <w:p w:rsidR="001D121B" w:rsidRPr="00AF78CA" w:rsidRDefault="001D121B" w:rsidP="001D121B">
            <w:pPr>
              <w:rPr>
                <w:sz w:val="24"/>
                <w:szCs w:val="24"/>
                <w:lang w:val="en-GB"/>
              </w:rPr>
            </w:pPr>
            <w:proofErr w:type="spellStart"/>
            <w:r w:rsidRPr="00AF78CA">
              <w:rPr>
                <w:sz w:val="24"/>
                <w:szCs w:val="24"/>
                <w:lang w:val="en-GB"/>
              </w:rPr>
              <w:t>Indikační</w:t>
            </w:r>
            <w:proofErr w:type="spellEnd"/>
            <w:r w:rsidRPr="00AF78CA">
              <w:rPr>
                <w:sz w:val="24"/>
                <w:szCs w:val="24"/>
                <w:lang w:val="en-GB"/>
              </w:rPr>
              <w:t xml:space="preserve"> limit (mg/kg) </w:t>
            </w:r>
          </w:p>
        </w:tc>
      </w:tr>
      <w:tr w:rsidR="001D121B" w:rsidRPr="00AF78CA" w:rsidTr="001D121B">
        <w:tc>
          <w:tcPr>
            <w:tcW w:w="4361" w:type="dxa"/>
          </w:tcPr>
          <w:p w:rsidR="001D121B" w:rsidRPr="00AF78CA" w:rsidRDefault="001D121B" w:rsidP="001D121B">
            <w:pPr>
              <w:rPr>
                <w:sz w:val="24"/>
                <w:szCs w:val="24"/>
                <w:vertAlign w:val="superscript"/>
                <w:lang w:val="en-GB"/>
              </w:rPr>
            </w:pPr>
            <w:r w:rsidRPr="00AF78CA">
              <w:rPr>
                <w:sz w:val="24"/>
                <w:szCs w:val="24"/>
                <w:lang w:val="en-GB"/>
              </w:rPr>
              <w:t>Σ PA</w:t>
            </w:r>
            <w:r>
              <w:rPr>
                <w:sz w:val="24"/>
                <w:szCs w:val="24"/>
                <w:lang w:val="en-GB"/>
              </w:rPr>
              <w:t>U</w:t>
            </w:r>
            <w:r w:rsidRPr="00AF78CA">
              <w:rPr>
                <w:sz w:val="24"/>
                <w:szCs w:val="24"/>
                <w:vertAlign w:val="superscript"/>
                <w:lang w:val="en-GB"/>
              </w:rPr>
              <w:t>1)</w:t>
            </w:r>
          </w:p>
        </w:tc>
        <w:tc>
          <w:tcPr>
            <w:tcW w:w="4339" w:type="dxa"/>
          </w:tcPr>
          <w:p w:rsidR="001D121B" w:rsidRPr="00AF78CA" w:rsidRDefault="001D121B" w:rsidP="001D121B">
            <w:pPr>
              <w:rPr>
                <w:sz w:val="24"/>
                <w:szCs w:val="24"/>
                <w:lang w:val="en-GB"/>
              </w:rPr>
            </w:pPr>
            <w:r w:rsidRPr="00AF78CA">
              <w:rPr>
                <w:sz w:val="24"/>
                <w:szCs w:val="24"/>
                <w:lang w:val="en-GB"/>
              </w:rPr>
              <w:t>30</w:t>
            </w:r>
          </w:p>
        </w:tc>
      </w:tr>
      <w:tr w:rsidR="001D121B" w:rsidRPr="00AF78CA" w:rsidTr="001D121B">
        <w:tc>
          <w:tcPr>
            <w:tcW w:w="4361" w:type="dxa"/>
          </w:tcPr>
          <w:p w:rsidR="001D121B" w:rsidRPr="00AF78CA" w:rsidRDefault="001D121B" w:rsidP="001D121B">
            <w:pPr>
              <w:rPr>
                <w:sz w:val="24"/>
                <w:szCs w:val="24"/>
                <w:lang w:val="en-GB"/>
              </w:rPr>
            </w:pPr>
            <w:r w:rsidRPr="00AF78CA">
              <w:rPr>
                <w:sz w:val="24"/>
                <w:szCs w:val="24"/>
                <w:lang w:val="en-GB"/>
              </w:rPr>
              <w:t>Benzo(a)</w:t>
            </w:r>
            <w:proofErr w:type="spellStart"/>
            <w:r w:rsidRPr="00AF78CA">
              <w:rPr>
                <w:sz w:val="24"/>
                <w:szCs w:val="24"/>
                <w:lang w:val="en-GB"/>
              </w:rPr>
              <w:t>pyren</w:t>
            </w:r>
            <w:proofErr w:type="spellEnd"/>
          </w:p>
        </w:tc>
        <w:tc>
          <w:tcPr>
            <w:tcW w:w="4339" w:type="dxa"/>
          </w:tcPr>
          <w:p w:rsidR="001D121B" w:rsidRPr="00AF78CA" w:rsidRDefault="001D121B" w:rsidP="001D121B">
            <w:pPr>
              <w:rPr>
                <w:sz w:val="24"/>
                <w:szCs w:val="24"/>
                <w:lang w:val="en-GB"/>
              </w:rPr>
            </w:pPr>
            <w:r w:rsidRPr="00AF78CA">
              <w:rPr>
                <w:sz w:val="24"/>
                <w:szCs w:val="24"/>
                <w:lang w:val="en-GB"/>
              </w:rPr>
              <w:t>0.5</w:t>
            </w:r>
          </w:p>
        </w:tc>
      </w:tr>
      <w:tr w:rsidR="001D121B" w:rsidRPr="00AF78CA" w:rsidTr="001D121B">
        <w:tc>
          <w:tcPr>
            <w:tcW w:w="4361" w:type="dxa"/>
          </w:tcPr>
          <w:p w:rsidR="001D121B" w:rsidRPr="00AF78CA" w:rsidRDefault="001D121B" w:rsidP="001D121B">
            <w:pPr>
              <w:rPr>
                <w:sz w:val="24"/>
                <w:szCs w:val="24"/>
                <w:vertAlign w:val="superscript"/>
                <w:lang w:val="en-GB"/>
              </w:rPr>
            </w:pPr>
            <w:r w:rsidRPr="00AF78CA">
              <w:rPr>
                <w:sz w:val="24"/>
                <w:szCs w:val="24"/>
                <w:lang w:val="en-GB"/>
              </w:rPr>
              <w:t>Σ PCB</w:t>
            </w:r>
            <w:r w:rsidRPr="00AF78CA">
              <w:rPr>
                <w:sz w:val="24"/>
                <w:szCs w:val="24"/>
                <w:vertAlign w:val="superscript"/>
                <w:lang w:val="en-GB"/>
              </w:rPr>
              <w:t>2)</w:t>
            </w:r>
          </w:p>
        </w:tc>
        <w:tc>
          <w:tcPr>
            <w:tcW w:w="4339" w:type="dxa"/>
          </w:tcPr>
          <w:p w:rsidR="001D121B" w:rsidRPr="00AF78CA" w:rsidRDefault="001D121B" w:rsidP="001D121B">
            <w:pPr>
              <w:rPr>
                <w:sz w:val="24"/>
                <w:szCs w:val="24"/>
                <w:lang w:val="en-GB"/>
              </w:rPr>
            </w:pPr>
            <w:r w:rsidRPr="00AF78CA">
              <w:rPr>
                <w:sz w:val="24"/>
                <w:szCs w:val="24"/>
                <w:lang w:val="en-GB"/>
              </w:rPr>
              <w:t>1.5</w:t>
            </w:r>
          </w:p>
        </w:tc>
      </w:tr>
      <w:tr w:rsidR="001D121B" w:rsidRPr="00AF78CA" w:rsidTr="001D121B">
        <w:tc>
          <w:tcPr>
            <w:tcW w:w="4361" w:type="dxa"/>
          </w:tcPr>
          <w:p w:rsidR="001D121B" w:rsidRPr="00AF78CA" w:rsidRDefault="001D121B" w:rsidP="001D121B">
            <w:pPr>
              <w:rPr>
                <w:sz w:val="24"/>
                <w:szCs w:val="24"/>
                <w:vertAlign w:val="superscript"/>
                <w:lang w:val="en-GB"/>
              </w:rPr>
            </w:pPr>
            <w:r w:rsidRPr="00AF78CA">
              <w:rPr>
                <w:sz w:val="24"/>
                <w:szCs w:val="24"/>
                <w:lang w:val="en-GB"/>
              </w:rPr>
              <w:t>Σ DDT</w:t>
            </w:r>
            <w:r w:rsidRPr="00AF78CA">
              <w:rPr>
                <w:sz w:val="24"/>
                <w:szCs w:val="24"/>
                <w:vertAlign w:val="superscript"/>
                <w:lang w:val="en-GB"/>
              </w:rPr>
              <w:t>3)</w:t>
            </w:r>
          </w:p>
        </w:tc>
        <w:tc>
          <w:tcPr>
            <w:tcW w:w="4339" w:type="dxa"/>
          </w:tcPr>
          <w:p w:rsidR="001D121B" w:rsidRPr="00AF78CA" w:rsidRDefault="001D121B" w:rsidP="001D121B">
            <w:pPr>
              <w:rPr>
                <w:sz w:val="24"/>
                <w:szCs w:val="24"/>
                <w:lang w:val="en-GB"/>
              </w:rPr>
            </w:pPr>
            <w:r w:rsidRPr="00AF78CA">
              <w:rPr>
                <w:sz w:val="24"/>
                <w:szCs w:val="24"/>
                <w:lang w:val="en-GB"/>
              </w:rPr>
              <w:t>8.0</w:t>
            </w:r>
          </w:p>
        </w:tc>
      </w:tr>
      <w:tr w:rsidR="001D121B" w:rsidRPr="00AF78CA" w:rsidTr="001D121B">
        <w:tc>
          <w:tcPr>
            <w:tcW w:w="4361" w:type="dxa"/>
          </w:tcPr>
          <w:p w:rsidR="001D121B" w:rsidRPr="00AF78CA" w:rsidRDefault="001D121B" w:rsidP="001D121B">
            <w:pPr>
              <w:rPr>
                <w:sz w:val="24"/>
                <w:szCs w:val="24"/>
                <w:vertAlign w:val="superscript"/>
                <w:lang w:val="en-GB"/>
              </w:rPr>
            </w:pPr>
            <w:r w:rsidRPr="00AF78CA">
              <w:rPr>
                <w:sz w:val="24"/>
                <w:szCs w:val="24"/>
                <w:lang w:val="en-GB"/>
              </w:rPr>
              <w:t>HCB</w:t>
            </w:r>
          </w:p>
        </w:tc>
        <w:tc>
          <w:tcPr>
            <w:tcW w:w="4339" w:type="dxa"/>
          </w:tcPr>
          <w:p w:rsidR="001D121B" w:rsidRPr="00AF78CA" w:rsidRDefault="001D121B" w:rsidP="001D121B">
            <w:pPr>
              <w:rPr>
                <w:sz w:val="24"/>
                <w:szCs w:val="24"/>
                <w:lang w:val="en-GB"/>
              </w:rPr>
            </w:pPr>
            <w:r w:rsidRPr="00AF78CA">
              <w:rPr>
                <w:sz w:val="24"/>
                <w:szCs w:val="24"/>
                <w:lang w:val="en-GB"/>
              </w:rPr>
              <w:t>1</w:t>
            </w:r>
          </w:p>
        </w:tc>
      </w:tr>
      <w:tr w:rsidR="001D121B" w:rsidRPr="00AF78CA" w:rsidTr="001D121B">
        <w:tc>
          <w:tcPr>
            <w:tcW w:w="4361" w:type="dxa"/>
          </w:tcPr>
          <w:p w:rsidR="001D121B" w:rsidRPr="00AF78CA" w:rsidRDefault="001D121B" w:rsidP="001D121B">
            <w:pPr>
              <w:rPr>
                <w:sz w:val="24"/>
                <w:szCs w:val="24"/>
                <w:lang w:val="en-GB"/>
              </w:rPr>
            </w:pPr>
            <w:r w:rsidRPr="00AF78CA">
              <w:rPr>
                <w:sz w:val="24"/>
                <w:szCs w:val="24"/>
                <w:lang w:val="en-GB"/>
              </w:rPr>
              <w:t>HCH</w:t>
            </w:r>
            <w:r w:rsidRPr="00AF78CA">
              <w:rPr>
                <w:sz w:val="24"/>
                <w:szCs w:val="24"/>
                <w:vertAlign w:val="superscript"/>
                <w:lang w:val="en-GB"/>
              </w:rPr>
              <w:t xml:space="preserve"> </w:t>
            </w:r>
            <w:r w:rsidRPr="00AF78CA">
              <w:rPr>
                <w:sz w:val="24"/>
                <w:szCs w:val="24"/>
                <w:lang w:val="en-GB"/>
              </w:rPr>
              <w:t xml:space="preserve"> (Σ α+β+γ)</w:t>
            </w:r>
          </w:p>
        </w:tc>
        <w:tc>
          <w:tcPr>
            <w:tcW w:w="4339" w:type="dxa"/>
          </w:tcPr>
          <w:p w:rsidR="001D121B" w:rsidRPr="00AF78CA" w:rsidRDefault="001D121B" w:rsidP="001D121B">
            <w:pPr>
              <w:rPr>
                <w:sz w:val="24"/>
                <w:szCs w:val="24"/>
                <w:lang w:val="en-GB"/>
              </w:rPr>
            </w:pPr>
            <w:r w:rsidRPr="00AF78CA">
              <w:rPr>
                <w:sz w:val="24"/>
                <w:szCs w:val="24"/>
                <w:lang w:val="en-GB"/>
              </w:rPr>
              <w:t>1</w:t>
            </w:r>
          </w:p>
        </w:tc>
      </w:tr>
      <w:tr w:rsidR="001D121B" w:rsidRPr="00AF78CA" w:rsidTr="001D121B">
        <w:tc>
          <w:tcPr>
            <w:tcW w:w="4361" w:type="dxa"/>
          </w:tcPr>
          <w:p w:rsidR="001D121B" w:rsidRPr="00AF78CA" w:rsidRDefault="001D121B" w:rsidP="001D121B">
            <w:pPr>
              <w:rPr>
                <w:sz w:val="24"/>
                <w:szCs w:val="24"/>
                <w:vertAlign w:val="superscript"/>
                <w:lang w:val="en-GB"/>
              </w:rPr>
            </w:pPr>
            <w:r w:rsidRPr="00AF78CA">
              <w:rPr>
                <w:sz w:val="24"/>
                <w:szCs w:val="24"/>
                <w:lang w:val="en-GB"/>
              </w:rPr>
              <w:t>PCDDs/Fs</w:t>
            </w:r>
            <w:r w:rsidRPr="00AF78CA">
              <w:rPr>
                <w:sz w:val="24"/>
                <w:szCs w:val="24"/>
                <w:vertAlign w:val="superscript"/>
                <w:lang w:val="en-GB"/>
              </w:rPr>
              <w:t>4)</w:t>
            </w:r>
          </w:p>
        </w:tc>
        <w:tc>
          <w:tcPr>
            <w:tcW w:w="4339" w:type="dxa"/>
          </w:tcPr>
          <w:p w:rsidR="001D121B" w:rsidRPr="00AF78CA" w:rsidRDefault="001D121B" w:rsidP="001D121B">
            <w:pPr>
              <w:rPr>
                <w:sz w:val="24"/>
                <w:szCs w:val="24"/>
                <w:lang w:val="en-GB"/>
              </w:rPr>
            </w:pPr>
            <w:r w:rsidRPr="00AF78CA">
              <w:rPr>
                <w:sz w:val="24"/>
                <w:szCs w:val="24"/>
                <w:lang w:val="en-GB"/>
              </w:rPr>
              <w:t>100</w:t>
            </w:r>
            <w:r w:rsidRPr="00AF78CA">
              <w:rPr>
                <w:sz w:val="24"/>
                <w:szCs w:val="24"/>
                <w:vertAlign w:val="superscript"/>
                <w:lang w:val="en-GB"/>
              </w:rPr>
              <w:t>5)</w:t>
            </w:r>
          </w:p>
        </w:tc>
      </w:tr>
    </w:tbl>
    <w:p w:rsidR="001D121B" w:rsidRPr="00AF78CA" w:rsidRDefault="001D121B" w:rsidP="001D121B">
      <w:pPr>
        <w:spacing w:after="0" w:line="240" w:lineRule="auto"/>
        <w:ind w:left="357"/>
        <w:rPr>
          <w:rFonts w:ascii="Times New Roman" w:hAnsi="Times New Roman" w:cs="Times New Roman"/>
          <w:sz w:val="24"/>
          <w:szCs w:val="24"/>
        </w:rPr>
      </w:pPr>
      <w:r w:rsidRPr="00AF78CA">
        <w:rPr>
          <w:rFonts w:ascii="Times New Roman" w:hAnsi="Times New Roman" w:cs="Times New Roman"/>
          <w:sz w:val="24"/>
          <w:szCs w:val="24"/>
          <w:vertAlign w:val="superscript"/>
        </w:rPr>
        <w:t>1)</w:t>
      </w:r>
      <w:r w:rsidRPr="00AF78CA">
        <w:rPr>
          <w:rFonts w:ascii="Times New Roman" w:hAnsi="Times New Roman" w:cs="Times New Roman"/>
          <w:sz w:val="24"/>
          <w:szCs w:val="24"/>
        </w:rPr>
        <w:t xml:space="preserve">Σ PAHS – </w:t>
      </w:r>
      <w:proofErr w:type="spellStart"/>
      <w:r w:rsidRPr="00AF78CA">
        <w:rPr>
          <w:rFonts w:ascii="Times New Roman" w:hAnsi="Times New Roman" w:cs="Times New Roman"/>
          <w:sz w:val="24"/>
          <w:szCs w:val="24"/>
        </w:rPr>
        <w:t>polycyclické</w:t>
      </w:r>
      <w:proofErr w:type="spellEnd"/>
      <w:r w:rsidRPr="00AF78CA">
        <w:rPr>
          <w:rFonts w:ascii="Times New Roman" w:hAnsi="Times New Roman" w:cs="Times New Roman"/>
          <w:sz w:val="24"/>
          <w:szCs w:val="24"/>
        </w:rPr>
        <w:t xml:space="preserve"> aromatické uhlovodíky (anthracen, </w:t>
      </w:r>
      <w:proofErr w:type="spellStart"/>
      <w:proofErr w:type="gramStart"/>
      <w:r w:rsidRPr="00AF78CA">
        <w:rPr>
          <w:rFonts w:ascii="Times New Roman" w:hAnsi="Times New Roman" w:cs="Times New Roman"/>
          <w:sz w:val="24"/>
          <w:szCs w:val="24"/>
        </w:rPr>
        <w:t>benzo</w:t>
      </w:r>
      <w:proofErr w:type="spellEnd"/>
      <w:r w:rsidRPr="00AF78CA">
        <w:rPr>
          <w:rFonts w:ascii="Times New Roman" w:hAnsi="Times New Roman" w:cs="Times New Roman"/>
          <w:sz w:val="24"/>
          <w:szCs w:val="24"/>
        </w:rPr>
        <w:t>(a)anthracen</w:t>
      </w:r>
      <w:proofErr w:type="gramEnd"/>
      <w:r w:rsidRPr="00AF78CA">
        <w:rPr>
          <w:rFonts w:ascii="Times New Roman" w:hAnsi="Times New Roman" w:cs="Times New Roman"/>
          <w:sz w:val="24"/>
          <w:szCs w:val="24"/>
        </w:rPr>
        <w:t xml:space="preserve">, </w:t>
      </w:r>
      <w:proofErr w:type="spellStart"/>
      <w:r w:rsidRPr="00AF78CA">
        <w:rPr>
          <w:rFonts w:ascii="Times New Roman" w:hAnsi="Times New Roman" w:cs="Times New Roman"/>
          <w:sz w:val="24"/>
          <w:szCs w:val="24"/>
        </w:rPr>
        <w:t>benzo</w:t>
      </w:r>
      <w:proofErr w:type="spellEnd"/>
      <w:r w:rsidRPr="00AF78CA">
        <w:rPr>
          <w:rFonts w:ascii="Times New Roman" w:hAnsi="Times New Roman" w:cs="Times New Roman"/>
          <w:sz w:val="24"/>
          <w:szCs w:val="24"/>
        </w:rPr>
        <w:t>(b)</w:t>
      </w:r>
      <w:proofErr w:type="spellStart"/>
      <w:r w:rsidRPr="00AF78CA">
        <w:rPr>
          <w:rFonts w:ascii="Times New Roman" w:hAnsi="Times New Roman" w:cs="Times New Roman"/>
          <w:sz w:val="24"/>
          <w:szCs w:val="24"/>
        </w:rPr>
        <w:t>fluoranthen</w:t>
      </w:r>
      <w:proofErr w:type="spellEnd"/>
      <w:r w:rsidRPr="00AF78CA">
        <w:rPr>
          <w:rFonts w:ascii="Times New Roman" w:hAnsi="Times New Roman" w:cs="Times New Roman"/>
          <w:sz w:val="24"/>
          <w:szCs w:val="24"/>
        </w:rPr>
        <w:t xml:space="preserve">, </w:t>
      </w:r>
      <w:proofErr w:type="spellStart"/>
      <w:r w:rsidRPr="00AF78CA">
        <w:rPr>
          <w:rFonts w:ascii="Times New Roman" w:hAnsi="Times New Roman" w:cs="Times New Roman"/>
          <w:sz w:val="24"/>
          <w:szCs w:val="24"/>
        </w:rPr>
        <w:t>benzo</w:t>
      </w:r>
      <w:proofErr w:type="spellEnd"/>
      <w:r w:rsidRPr="00AF78CA">
        <w:rPr>
          <w:rFonts w:ascii="Times New Roman" w:hAnsi="Times New Roman" w:cs="Times New Roman"/>
          <w:sz w:val="24"/>
          <w:szCs w:val="24"/>
        </w:rPr>
        <w:t>(k)</w:t>
      </w:r>
      <w:proofErr w:type="spellStart"/>
      <w:r w:rsidRPr="00AF78CA">
        <w:rPr>
          <w:rFonts w:ascii="Times New Roman" w:hAnsi="Times New Roman" w:cs="Times New Roman"/>
          <w:sz w:val="24"/>
          <w:szCs w:val="24"/>
        </w:rPr>
        <w:t>fluoranthen</w:t>
      </w:r>
      <w:proofErr w:type="spellEnd"/>
      <w:r w:rsidRPr="00AF78CA">
        <w:rPr>
          <w:rFonts w:ascii="Times New Roman" w:hAnsi="Times New Roman" w:cs="Times New Roman"/>
          <w:sz w:val="24"/>
          <w:szCs w:val="24"/>
        </w:rPr>
        <w:t xml:space="preserve">, </w:t>
      </w:r>
      <w:proofErr w:type="spellStart"/>
      <w:r w:rsidRPr="00AF78CA">
        <w:rPr>
          <w:rFonts w:ascii="Times New Roman" w:hAnsi="Times New Roman" w:cs="Times New Roman"/>
          <w:sz w:val="24"/>
          <w:szCs w:val="24"/>
        </w:rPr>
        <w:t>benzo</w:t>
      </w:r>
      <w:proofErr w:type="spellEnd"/>
      <w:r w:rsidRPr="00AF78CA">
        <w:rPr>
          <w:rFonts w:ascii="Times New Roman" w:hAnsi="Times New Roman" w:cs="Times New Roman"/>
          <w:sz w:val="24"/>
          <w:szCs w:val="24"/>
        </w:rPr>
        <w:t xml:space="preserve">(a)pyren, </w:t>
      </w:r>
      <w:proofErr w:type="spellStart"/>
      <w:r w:rsidRPr="00AF78CA">
        <w:rPr>
          <w:rFonts w:ascii="Times New Roman" w:hAnsi="Times New Roman" w:cs="Times New Roman"/>
          <w:sz w:val="24"/>
          <w:szCs w:val="24"/>
        </w:rPr>
        <w:t>benzo</w:t>
      </w:r>
      <w:proofErr w:type="spellEnd"/>
      <w:r w:rsidRPr="00AF78CA">
        <w:rPr>
          <w:rFonts w:ascii="Times New Roman" w:hAnsi="Times New Roman" w:cs="Times New Roman"/>
          <w:sz w:val="24"/>
          <w:szCs w:val="24"/>
        </w:rPr>
        <w:t>(</w:t>
      </w:r>
      <w:proofErr w:type="spellStart"/>
      <w:r w:rsidRPr="00AF78CA">
        <w:rPr>
          <w:rFonts w:ascii="Times New Roman" w:hAnsi="Times New Roman" w:cs="Times New Roman"/>
          <w:sz w:val="24"/>
          <w:szCs w:val="24"/>
        </w:rPr>
        <w:t>ghi</w:t>
      </w:r>
      <w:proofErr w:type="spellEnd"/>
      <w:r w:rsidRPr="00AF78CA">
        <w:rPr>
          <w:rFonts w:ascii="Times New Roman" w:hAnsi="Times New Roman" w:cs="Times New Roman"/>
          <w:sz w:val="24"/>
          <w:szCs w:val="24"/>
        </w:rPr>
        <w:t>)</w:t>
      </w:r>
      <w:proofErr w:type="spellStart"/>
      <w:r w:rsidRPr="00AF78CA">
        <w:rPr>
          <w:rFonts w:ascii="Times New Roman" w:hAnsi="Times New Roman" w:cs="Times New Roman"/>
          <w:sz w:val="24"/>
          <w:szCs w:val="24"/>
        </w:rPr>
        <w:t>perylen</w:t>
      </w:r>
      <w:proofErr w:type="spellEnd"/>
      <w:r w:rsidRPr="00AF78CA">
        <w:rPr>
          <w:rFonts w:ascii="Times New Roman" w:hAnsi="Times New Roman" w:cs="Times New Roman"/>
          <w:sz w:val="24"/>
          <w:szCs w:val="24"/>
        </w:rPr>
        <w:t xml:space="preserve">, </w:t>
      </w:r>
      <w:proofErr w:type="spellStart"/>
      <w:r w:rsidRPr="00AF78CA">
        <w:rPr>
          <w:rFonts w:ascii="Times New Roman" w:hAnsi="Times New Roman" w:cs="Times New Roman"/>
          <w:sz w:val="24"/>
          <w:szCs w:val="24"/>
        </w:rPr>
        <w:t>fenantren</w:t>
      </w:r>
      <w:proofErr w:type="spellEnd"/>
      <w:r w:rsidRPr="00AF78CA">
        <w:rPr>
          <w:rFonts w:ascii="Times New Roman" w:hAnsi="Times New Roman" w:cs="Times New Roman"/>
          <w:sz w:val="24"/>
          <w:szCs w:val="24"/>
        </w:rPr>
        <w:t xml:space="preserve">, </w:t>
      </w:r>
      <w:proofErr w:type="spellStart"/>
      <w:r w:rsidRPr="00AF78CA">
        <w:rPr>
          <w:rFonts w:ascii="Times New Roman" w:hAnsi="Times New Roman" w:cs="Times New Roman"/>
          <w:sz w:val="24"/>
          <w:szCs w:val="24"/>
        </w:rPr>
        <w:t>fluoranten</w:t>
      </w:r>
      <w:proofErr w:type="spellEnd"/>
      <w:r w:rsidRPr="00AF78CA">
        <w:rPr>
          <w:rFonts w:ascii="Times New Roman" w:hAnsi="Times New Roman" w:cs="Times New Roman"/>
          <w:sz w:val="24"/>
          <w:szCs w:val="24"/>
        </w:rPr>
        <w:t xml:space="preserve">, </w:t>
      </w:r>
      <w:proofErr w:type="spellStart"/>
      <w:r w:rsidRPr="00AF78CA">
        <w:rPr>
          <w:rFonts w:ascii="Times New Roman" w:hAnsi="Times New Roman" w:cs="Times New Roman"/>
          <w:sz w:val="24"/>
          <w:szCs w:val="24"/>
        </w:rPr>
        <w:t>chrysen</w:t>
      </w:r>
      <w:proofErr w:type="spellEnd"/>
      <w:r w:rsidRPr="00AF78CA">
        <w:rPr>
          <w:rFonts w:ascii="Times New Roman" w:hAnsi="Times New Roman" w:cs="Times New Roman"/>
          <w:sz w:val="24"/>
          <w:szCs w:val="24"/>
        </w:rPr>
        <w:t xml:space="preserve">, </w:t>
      </w:r>
      <w:proofErr w:type="spellStart"/>
      <w:r w:rsidRPr="00AF78CA">
        <w:rPr>
          <w:rFonts w:ascii="Times New Roman" w:hAnsi="Times New Roman" w:cs="Times New Roman"/>
          <w:sz w:val="24"/>
          <w:szCs w:val="24"/>
        </w:rPr>
        <w:t>indeno</w:t>
      </w:r>
      <w:proofErr w:type="spellEnd"/>
      <w:r w:rsidRPr="00AF78CA">
        <w:rPr>
          <w:rFonts w:ascii="Times New Roman" w:hAnsi="Times New Roman" w:cs="Times New Roman"/>
          <w:sz w:val="24"/>
          <w:szCs w:val="24"/>
        </w:rPr>
        <w:t>(1,2,3-cd)pyren, naftalen, pyren)</w:t>
      </w:r>
    </w:p>
    <w:p w:rsidR="001D121B" w:rsidRPr="00AF78CA" w:rsidRDefault="001D121B" w:rsidP="001D121B">
      <w:pPr>
        <w:spacing w:after="0" w:line="240" w:lineRule="auto"/>
        <w:ind w:left="357"/>
        <w:rPr>
          <w:rFonts w:ascii="Times New Roman" w:hAnsi="Times New Roman" w:cs="Times New Roman"/>
          <w:sz w:val="24"/>
          <w:szCs w:val="24"/>
        </w:rPr>
      </w:pPr>
      <w:r w:rsidRPr="00AF78CA">
        <w:rPr>
          <w:rFonts w:ascii="Times New Roman" w:hAnsi="Times New Roman" w:cs="Times New Roman"/>
          <w:sz w:val="24"/>
          <w:szCs w:val="24"/>
          <w:vertAlign w:val="superscript"/>
        </w:rPr>
        <w:t>2)</w:t>
      </w:r>
      <w:r w:rsidRPr="00AF78CA">
        <w:rPr>
          <w:rFonts w:ascii="Times New Roman" w:hAnsi="Times New Roman" w:cs="Times New Roman"/>
          <w:sz w:val="24"/>
          <w:szCs w:val="24"/>
        </w:rPr>
        <w:t xml:space="preserve">Σ PCB </w:t>
      </w:r>
      <w:proofErr w:type="spellStart"/>
      <w:r w:rsidRPr="00AF78CA">
        <w:rPr>
          <w:rFonts w:ascii="Times New Roman" w:hAnsi="Times New Roman" w:cs="Times New Roman"/>
          <w:sz w:val="24"/>
          <w:szCs w:val="24"/>
        </w:rPr>
        <w:t>kongenerů</w:t>
      </w:r>
      <w:proofErr w:type="spellEnd"/>
      <w:r w:rsidRPr="00AF78CA">
        <w:rPr>
          <w:rFonts w:ascii="Times New Roman" w:hAnsi="Times New Roman" w:cs="Times New Roman"/>
          <w:sz w:val="24"/>
          <w:szCs w:val="24"/>
        </w:rPr>
        <w:t xml:space="preserve"> – 28+52+101+118+138+153+180</w:t>
      </w:r>
    </w:p>
    <w:p w:rsidR="001D121B" w:rsidRPr="00AF78CA" w:rsidRDefault="001D121B" w:rsidP="001D121B">
      <w:pPr>
        <w:spacing w:after="0" w:line="240" w:lineRule="auto"/>
        <w:ind w:left="357"/>
        <w:rPr>
          <w:rFonts w:ascii="Times New Roman" w:hAnsi="Times New Roman" w:cs="Times New Roman"/>
          <w:sz w:val="24"/>
          <w:szCs w:val="24"/>
        </w:rPr>
      </w:pPr>
      <w:r w:rsidRPr="00AF78CA">
        <w:rPr>
          <w:rFonts w:ascii="Times New Roman" w:hAnsi="Times New Roman" w:cs="Times New Roman"/>
          <w:sz w:val="24"/>
          <w:szCs w:val="24"/>
          <w:vertAlign w:val="superscript"/>
        </w:rPr>
        <w:t>3)</w:t>
      </w:r>
      <w:r w:rsidRPr="00AF78CA">
        <w:rPr>
          <w:rFonts w:ascii="Times New Roman" w:hAnsi="Times New Roman" w:cs="Times New Roman"/>
          <w:sz w:val="24"/>
          <w:szCs w:val="24"/>
        </w:rPr>
        <w:t>Σ DDT, DDE, DDD</w:t>
      </w:r>
    </w:p>
    <w:p w:rsidR="001D121B" w:rsidRPr="00AF78CA" w:rsidRDefault="001D121B" w:rsidP="001D121B">
      <w:pPr>
        <w:spacing w:after="0" w:line="240" w:lineRule="auto"/>
        <w:ind w:left="357"/>
        <w:rPr>
          <w:rFonts w:ascii="Times New Roman" w:hAnsi="Times New Roman" w:cs="Times New Roman"/>
          <w:sz w:val="24"/>
          <w:szCs w:val="24"/>
        </w:rPr>
      </w:pPr>
      <w:r w:rsidRPr="00AF78CA">
        <w:rPr>
          <w:rFonts w:ascii="Times New Roman" w:hAnsi="Times New Roman" w:cs="Times New Roman"/>
          <w:sz w:val="24"/>
          <w:szCs w:val="24"/>
          <w:vertAlign w:val="superscript"/>
        </w:rPr>
        <w:t>4)</w:t>
      </w:r>
      <w:r w:rsidRPr="00AF78CA">
        <w:rPr>
          <w:rFonts w:ascii="Times New Roman" w:hAnsi="Times New Roman" w:cs="Times New Roman"/>
          <w:sz w:val="24"/>
          <w:szCs w:val="24"/>
        </w:rPr>
        <w:t>Hodnota mezinárodního toxického ekvivalentu I-TEQ PCCD/F (</w:t>
      </w:r>
      <w:proofErr w:type="spellStart"/>
      <w:r w:rsidRPr="00AF78CA">
        <w:rPr>
          <w:rFonts w:ascii="Times New Roman" w:hAnsi="Times New Roman" w:cs="Times New Roman"/>
          <w:sz w:val="24"/>
          <w:szCs w:val="24"/>
        </w:rPr>
        <w:t>ng</w:t>
      </w:r>
      <w:proofErr w:type="spellEnd"/>
      <w:r w:rsidRPr="00AF78CA">
        <w:rPr>
          <w:rFonts w:ascii="Times New Roman" w:hAnsi="Times New Roman" w:cs="Times New Roman"/>
          <w:sz w:val="24"/>
          <w:szCs w:val="24"/>
        </w:rPr>
        <w:t>/kg sušiny)</w:t>
      </w:r>
    </w:p>
    <w:p w:rsidR="003B581C" w:rsidRPr="00451EBA" w:rsidRDefault="001D121B" w:rsidP="00451EBA">
      <w:pPr>
        <w:spacing w:line="240" w:lineRule="auto"/>
        <w:ind w:left="360"/>
        <w:rPr>
          <w:rFonts w:ascii="Times New Roman" w:hAnsi="Times New Roman" w:cs="Times New Roman"/>
          <w:sz w:val="24"/>
          <w:szCs w:val="24"/>
        </w:rPr>
      </w:pPr>
      <w:proofErr w:type="gramStart"/>
      <w:r w:rsidRPr="00AF78CA">
        <w:rPr>
          <w:rFonts w:ascii="Times New Roman" w:hAnsi="Times New Roman" w:cs="Times New Roman"/>
          <w:sz w:val="24"/>
          <w:szCs w:val="24"/>
          <w:vertAlign w:val="superscript"/>
        </w:rPr>
        <w:t>5)</w:t>
      </w:r>
      <w:r w:rsidRPr="00AF78CA">
        <w:rPr>
          <w:rFonts w:ascii="Times New Roman" w:hAnsi="Times New Roman" w:cs="Times New Roman"/>
          <w:sz w:val="24"/>
          <w:szCs w:val="24"/>
        </w:rPr>
        <w:t>(</w:t>
      </w:r>
      <w:proofErr w:type="spellStart"/>
      <w:r w:rsidRPr="00AF78CA">
        <w:rPr>
          <w:rFonts w:ascii="Times New Roman" w:hAnsi="Times New Roman" w:cs="Times New Roman"/>
          <w:sz w:val="24"/>
          <w:szCs w:val="24"/>
        </w:rPr>
        <w:t>ng</w:t>
      </w:r>
      <w:proofErr w:type="spellEnd"/>
      <w:r w:rsidRPr="00AF78CA">
        <w:rPr>
          <w:rFonts w:ascii="Times New Roman" w:hAnsi="Times New Roman" w:cs="Times New Roman"/>
          <w:sz w:val="24"/>
          <w:szCs w:val="24"/>
        </w:rPr>
        <w:t>/kg</w:t>
      </w:r>
      <w:proofErr w:type="gramEnd"/>
      <w:r w:rsidRPr="00AF78CA">
        <w:rPr>
          <w:rFonts w:ascii="Times New Roman" w:hAnsi="Times New Roman" w:cs="Times New Roman"/>
          <w:sz w:val="24"/>
          <w:szCs w:val="24"/>
        </w:rPr>
        <w:t xml:space="preserve"> sušiny)</w:t>
      </w:r>
    </w:p>
    <w:p w:rsidR="00451EBA" w:rsidRDefault="00451EBA" w:rsidP="001F59C3">
      <w:pPr>
        <w:pStyle w:val="Nzev"/>
        <w:spacing w:after="120" w:line="360" w:lineRule="auto"/>
        <w:jc w:val="left"/>
      </w:pPr>
    </w:p>
    <w:p w:rsidR="001F59C3" w:rsidRPr="007A7F73" w:rsidRDefault="00977D5A" w:rsidP="001F59C3">
      <w:pPr>
        <w:pStyle w:val="Nzev"/>
        <w:spacing w:after="120" w:line="360" w:lineRule="auto"/>
        <w:jc w:val="left"/>
      </w:pPr>
      <w:r>
        <w:t>Použitá l</w:t>
      </w:r>
      <w:r w:rsidR="001F59C3" w:rsidRPr="000E3AE0">
        <w:t>iteratura</w:t>
      </w:r>
      <w:r>
        <w:t>:</w:t>
      </w:r>
      <w:bookmarkStart w:id="0" w:name="_GoBack"/>
      <w:bookmarkEnd w:id="0"/>
    </w:p>
    <w:p w:rsidR="001F59C3" w:rsidRPr="006B2284" w:rsidRDefault="001F59C3" w:rsidP="001F59C3">
      <w:pPr>
        <w:spacing w:after="120"/>
        <w:rPr>
          <w:rFonts w:ascii="Times New Roman" w:eastAsia="Times New Roman" w:hAnsi="Times New Roman" w:cs="Times New Roman"/>
          <w:bCs/>
          <w:sz w:val="24"/>
          <w:szCs w:val="24"/>
          <w:lang w:val="en-GB" w:eastAsia="cs-CZ"/>
        </w:rPr>
      </w:pPr>
      <w:r w:rsidRPr="006B2284">
        <w:rPr>
          <w:rFonts w:ascii="Times New Roman" w:eastAsia="Times New Roman" w:hAnsi="Times New Roman" w:cs="Times New Roman"/>
          <w:bCs/>
          <w:sz w:val="24"/>
          <w:szCs w:val="24"/>
          <w:lang w:val="en-GB" w:eastAsia="cs-CZ"/>
        </w:rPr>
        <w:t xml:space="preserve">Aoyama M., </w:t>
      </w:r>
      <w:proofErr w:type="spellStart"/>
      <w:r w:rsidRPr="006B2284">
        <w:rPr>
          <w:rFonts w:ascii="Times New Roman" w:eastAsia="Times New Roman" w:hAnsi="Times New Roman" w:cs="Times New Roman"/>
          <w:bCs/>
          <w:sz w:val="24"/>
          <w:szCs w:val="24"/>
          <w:lang w:val="en-GB" w:eastAsia="cs-CZ"/>
        </w:rPr>
        <w:t>Nagumo</w:t>
      </w:r>
      <w:proofErr w:type="spellEnd"/>
      <w:r w:rsidRPr="006B2284">
        <w:rPr>
          <w:rFonts w:ascii="Times New Roman" w:eastAsia="Times New Roman" w:hAnsi="Times New Roman" w:cs="Times New Roman"/>
          <w:bCs/>
          <w:sz w:val="24"/>
          <w:szCs w:val="24"/>
          <w:lang w:val="en-GB" w:eastAsia="cs-CZ"/>
        </w:rPr>
        <w:t xml:space="preserve"> T. </w:t>
      </w:r>
      <w:r>
        <w:rPr>
          <w:rFonts w:ascii="Times New Roman" w:eastAsia="Times New Roman" w:hAnsi="Times New Roman" w:cs="Times New Roman"/>
          <w:bCs/>
          <w:sz w:val="24"/>
          <w:szCs w:val="24"/>
          <w:lang w:val="en-GB" w:eastAsia="cs-CZ"/>
        </w:rPr>
        <w:t>(</w:t>
      </w:r>
      <w:r w:rsidRPr="006B2284">
        <w:rPr>
          <w:rFonts w:ascii="Times New Roman" w:eastAsia="Times New Roman" w:hAnsi="Times New Roman" w:cs="Times New Roman"/>
          <w:bCs/>
          <w:sz w:val="24"/>
          <w:szCs w:val="24"/>
          <w:lang w:val="en-GB" w:eastAsia="cs-CZ"/>
        </w:rPr>
        <w:t>1997</w:t>
      </w:r>
      <w:r>
        <w:rPr>
          <w:rFonts w:ascii="Times New Roman" w:eastAsia="Times New Roman" w:hAnsi="Times New Roman" w:cs="Times New Roman"/>
          <w:bCs/>
          <w:sz w:val="24"/>
          <w:szCs w:val="24"/>
          <w:lang w:val="en-GB" w:eastAsia="cs-CZ"/>
        </w:rPr>
        <w:t>)</w:t>
      </w:r>
      <w:r w:rsidRPr="006B2284">
        <w:rPr>
          <w:rFonts w:ascii="Times New Roman" w:eastAsia="Times New Roman" w:hAnsi="Times New Roman" w:cs="Times New Roman"/>
          <w:bCs/>
          <w:sz w:val="24"/>
          <w:szCs w:val="24"/>
          <w:lang w:val="en-GB" w:eastAsia="cs-CZ"/>
        </w:rPr>
        <w:t xml:space="preserve">: Comparison of the effects of Cu, </w:t>
      </w:r>
      <w:proofErr w:type="spellStart"/>
      <w:r w:rsidRPr="006B2284">
        <w:rPr>
          <w:rFonts w:ascii="Times New Roman" w:eastAsia="Times New Roman" w:hAnsi="Times New Roman" w:cs="Times New Roman"/>
          <w:bCs/>
          <w:sz w:val="24"/>
          <w:szCs w:val="24"/>
          <w:lang w:val="en-GB" w:eastAsia="cs-CZ"/>
        </w:rPr>
        <w:t>Pb</w:t>
      </w:r>
      <w:proofErr w:type="spellEnd"/>
      <w:r w:rsidRPr="006B2284">
        <w:rPr>
          <w:rFonts w:ascii="Times New Roman" w:eastAsia="Times New Roman" w:hAnsi="Times New Roman" w:cs="Times New Roman"/>
          <w:bCs/>
          <w:sz w:val="24"/>
          <w:szCs w:val="24"/>
          <w:lang w:val="en-GB" w:eastAsia="cs-CZ"/>
        </w:rPr>
        <w:t xml:space="preserve"> and </w:t>
      </w:r>
      <w:proofErr w:type="gramStart"/>
      <w:r w:rsidRPr="006B2284">
        <w:rPr>
          <w:rFonts w:ascii="Times New Roman" w:eastAsia="Times New Roman" w:hAnsi="Times New Roman" w:cs="Times New Roman"/>
          <w:bCs/>
          <w:sz w:val="24"/>
          <w:szCs w:val="24"/>
          <w:lang w:val="en-GB" w:eastAsia="cs-CZ"/>
        </w:rPr>
        <w:t>As</w:t>
      </w:r>
      <w:proofErr w:type="gramEnd"/>
      <w:r w:rsidRPr="006B2284">
        <w:rPr>
          <w:rFonts w:ascii="Times New Roman" w:eastAsia="Times New Roman" w:hAnsi="Times New Roman" w:cs="Times New Roman"/>
          <w:bCs/>
          <w:sz w:val="24"/>
          <w:szCs w:val="24"/>
          <w:lang w:val="en-GB" w:eastAsia="cs-CZ"/>
        </w:rPr>
        <w:t xml:space="preserve"> on plant residue decomposition, microbial biomass and soil respiration. Soil Sci. Pl. </w:t>
      </w:r>
      <w:proofErr w:type="spellStart"/>
      <w:r w:rsidRPr="006B2284">
        <w:rPr>
          <w:rFonts w:ascii="Times New Roman" w:eastAsia="Times New Roman" w:hAnsi="Times New Roman" w:cs="Times New Roman"/>
          <w:bCs/>
          <w:sz w:val="24"/>
          <w:szCs w:val="24"/>
          <w:lang w:val="en-GB" w:eastAsia="cs-CZ"/>
        </w:rPr>
        <w:t>Nutr</w:t>
      </w:r>
      <w:proofErr w:type="spellEnd"/>
      <w:r w:rsidRPr="006B2284">
        <w:rPr>
          <w:rFonts w:ascii="Times New Roman" w:eastAsia="Times New Roman" w:hAnsi="Times New Roman" w:cs="Times New Roman"/>
          <w:bCs/>
          <w:sz w:val="24"/>
          <w:szCs w:val="24"/>
          <w:lang w:val="en-GB" w:eastAsia="cs-CZ"/>
        </w:rPr>
        <w:t>. , 4</w:t>
      </w:r>
      <w:r>
        <w:rPr>
          <w:rFonts w:ascii="Times New Roman" w:eastAsia="Times New Roman" w:hAnsi="Times New Roman" w:cs="Times New Roman"/>
          <w:bCs/>
          <w:sz w:val="24"/>
          <w:szCs w:val="24"/>
          <w:lang w:val="en-GB" w:eastAsia="cs-CZ"/>
        </w:rPr>
        <w:t>3, 1997 (3): 613-622.</w:t>
      </w:r>
    </w:p>
    <w:p w:rsidR="001F59C3" w:rsidRDefault="001F59C3" w:rsidP="001F59C3">
      <w:pPr>
        <w:pStyle w:val="Prosttext1"/>
        <w:spacing w:after="120"/>
        <w:rPr>
          <w:rFonts w:ascii="Times New Roman" w:hAnsi="Times New Roman"/>
          <w:bCs/>
          <w:sz w:val="24"/>
          <w:szCs w:val="24"/>
          <w:lang w:val="en-GB"/>
        </w:rPr>
      </w:pPr>
      <w:proofErr w:type="spellStart"/>
      <w:r>
        <w:rPr>
          <w:rFonts w:ascii="Times New Roman" w:hAnsi="Times New Roman"/>
          <w:bCs/>
          <w:sz w:val="24"/>
          <w:szCs w:val="24"/>
          <w:lang w:val="en-GB"/>
        </w:rPr>
        <w:t>Azoury</w:t>
      </w:r>
      <w:proofErr w:type="spellEnd"/>
      <w:r>
        <w:rPr>
          <w:rFonts w:ascii="Times New Roman" w:hAnsi="Times New Roman"/>
          <w:bCs/>
          <w:sz w:val="24"/>
          <w:szCs w:val="24"/>
          <w:lang w:val="en-GB"/>
        </w:rPr>
        <w:t xml:space="preserve"> S., </w:t>
      </w:r>
      <w:proofErr w:type="spellStart"/>
      <w:r>
        <w:rPr>
          <w:rFonts w:ascii="Times New Roman" w:hAnsi="Times New Roman"/>
          <w:bCs/>
          <w:sz w:val="24"/>
          <w:szCs w:val="24"/>
          <w:lang w:val="en-GB"/>
        </w:rPr>
        <w:t>Tronczynski</w:t>
      </w:r>
      <w:proofErr w:type="spellEnd"/>
      <w:r>
        <w:rPr>
          <w:rFonts w:ascii="Times New Roman" w:hAnsi="Times New Roman"/>
          <w:bCs/>
          <w:sz w:val="24"/>
          <w:szCs w:val="24"/>
          <w:lang w:val="en-GB"/>
        </w:rPr>
        <w:t xml:space="preserve"> J., </w:t>
      </w:r>
      <w:proofErr w:type="spellStart"/>
      <w:r>
        <w:rPr>
          <w:rFonts w:ascii="Times New Roman" w:hAnsi="Times New Roman"/>
          <w:bCs/>
          <w:sz w:val="24"/>
          <w:szCs w:val="24"/>
          <w:lang w:val="en-GB"/>
        </w:rPr>
        <w:t>Chiffoleau</w:t>
      </w:r>
      <w:proofErr w:type="spellEnd"/>
      <w:r>
        <w:rPr>
          <w:rFonts w:ascii="Times New Roman" w:hAnsi="Times New Roman"/>
          <w:bCs/>
          <w:sz w:val="24"/>
          <w:szCs w:val="24"/>
          <w:lang w:val="en-GB"/>
        </w:rPr>
        <w:t xml:space="preserve"> J.F., </w:t>
      </w:r>
      <w:proofErr w:type="spellStart"/>
      <w:r>
        <w:rPr>
          <w:rFonts w:ascii="Times New Roman" w:hAnsi="Times New Roman"/>
          <w:bCs/>
          <w:sz w:val="24"/>
          <w:szCs w:val="24"/>
          <w:lang w:val="en-GB"/>
        </w:rPr>
        <w:t>Cossa</w:t>
      </w:r>
      <w:proofErr w:type="spellEnd"/>
      <w:r>
        <w:rPr>
          <w:rFonts w:ascii="Times New Roman" w:hAnsi="Times New Roman"/>
          <w:bCs/>
          <w:sz w:val="24"/>
          <w:szCs w:val="24"/>
          <w:lang w:val="en-GB"/>
        </w:rPr>
        <w:t xml:space="preserve"> D., </w:t>
      </w:r>
      <w:proofErr w:type="spellStart"/>
      <w:r>
        <w:rPr>
          <w:rFonts w:ascii="Times New Roman" w:hAnsi="Times New Roman"/>
          <w:bCs/>
          <w:sz w:val="24"/>
          <w:szCs w:val="24"/>
          <w:lang w:val="en-GB"/>
        </w:rPr>
        <w:t>Nakhle</w:t>
      </w:r>
      <w:proofErr w:type="spellEnd"/>
      <w:r>
        <w:rPr>
          <w:rFonts w:ascii="Times New Roman" w:hAnsi="Times New Roman"/>
          <w:bCs/>
          <w:sz w:val="24"/>
          <w:szCs w:val="24"/>
          <w:lang w:val="en-GB"/>
        </w:rPr>
        <w:t xml:space="preserve"> K., Schmidt S., </w:t>
      </w:r>
      <w:proofErr w:type="spellStart"/>
      <w:r>
        <w:rPr>
          <w:rFonts w:ascii="Times New Roman" w:hAnsi="Times New Roman"/>
          <w:bCs/>
          <w:sz w:val="24"/>
          <w:szCs w:val="24"/>
          <w:lang w:val="en-GB"/>
        </w:rPr>
        <w:t>Khalaf</w:t>
      </w:r>
      <w:proofErr w:type="spellEnd"/>
      <w:r>
        <w:rPr>
          <w:rFonts w:ascii="Times New Roman" w:hAnsi="Times New Roman"/>
          <w:bCs/>
          <w:sz w:val="24"/>
          <w:szCs w:val="24"/>
          <w:lang w:val="en-GB"/>
        </w:rPr>
        <w:t xml:space="preserve"> G. (2013): Historical Records of Mercury, Lead and Polycyclic Aromatic Hydrocarbons Depositions in a Dated Sediment Core from the Eastern Mediterranean. Environmental Science and Technology, 47 (13): 7101-7109.  </w:t>
      </w:r>
    </w:p>
    <w:p w:rsidR="001F59C3" w:rsidRPr="00936FE2" w:rsidRDefault="001F59C3" w:rsidP="001F59C3">
      <w:pPr>
        <w:spacing w:after="120"/>
        <w:rPr>
          <w:rFonts w:ascii="Times New Roman" w:eastAsia="Times New Roman" w:hAnsi="Times New Roman" w:cs="Times New Roman"/>
          <w:bCs/>
          <w:sz w:val="24"/>
          <w:szCs w:val="24"/>
          <w:lang w:val="en-GB" w:eastAsia="cs-CZ"/>
        </w:rPr>
      </w:pPr>
      <w:proofErr w:type="spellStart"/>
      <w:r>
        <w:rPr>
          <w:rFonts w:ascii="Times New Roman" w:eastAsia="Times New Roman" w:hAnsi="Times New Roman" w:cs="Times New Roman"/>
          <w:bCs/>
          <w:sz w:val="24"/>
          <w:szCs w:val="24"/>
          <w:lang w:val="en-GB" w:eastAsia="cs-CZ"/>
        </w:rPr>
        <w:t>Beneš</w:t>
      </w:r>
      <w:proofErr w:type="spellEnd"/>
      <w:r w:rsidRPr="00936FE2">
        <w:rPr>
          <w:rFonts w:ascii="Times New Roman" w:eastAsia="Times New Roman" w:hAnsi="Times New Roman" w:cs="Times New Roman"/>
          <w:bCs/>
          <w:sz w:val="24"/>
          <w:szCs w:val="24"/>
          <w:lang w:val="en-GB" w:eastAsia="cs-CZ"/>
        </w:rPr>
        <w:t xml:space="preserve"> S., </w:t>
      </w:r>
      <w:proofErr w:type="spellStart"/>
      <w:r w:rsidRPr="00936FE2">
        <w:rPr>
          <w:rFonts w:ascii="Times New Roman" w:eastAsia="Times New Roman" w:hAnsi="Times New Roman" w:cs="Times New Roman"/>
          <w:bCs/>
          <w:sz w:val="24"/>
          <w:szCs w:val="24"/>
          <w:lang w:val="en-GB" w:eastAsia="cs-CZ"/>
        </w:rPr>
        <w:t>Pabiánová</w:t>
      </w:r>
      <w:proofErr w:type="spellEnd"/>
      <w:r w:rsidRPr="00936FE2">
        <w:rPr>
          <w:rFonts w:ascii="Times New Roman" w:eastAsia="Times New Roman" w:hAnsi="Times New Roman" w:cs="Times New Roman"/>
          <w:bCs/>
          <w:sz w:val="24"/>
          <w:szCs w:val="24"/>
          <w:lang w:val="en-GB" w:eastAsia="cs-CZ"/>
        </w:rPr>
        <w:t xml:space="preserve"> J. </w:t>
      </w:r>
      <w:r>
        <w:rPr>
          <w:rFonts w:ascii="Times New Roman" w:eastAsia="Times New Roman" w:hAnsi="Times New Roman" w:cs="Times New Roman"/>
          <w:bCs/>
          <w:sz w:val="24"/>
          <w:szCs w:val="24"/>
          <w:lang w:val="en-GB" w:eastAsia="cs-CZ"/>
        </w:rPr>
        <w:t>(</w:t>
      </w:r>
      <w:r w:rsidRPr="00936FE2">
        <w:rPr>
          <w:rFonts w:ascii="Times New Roman" w:eastAsia="Times New Roman" w:hAnsi="Times New Roman" w:cs="Times New Roman"/>
          <w:bCs/>
          <w:sz w:val="24"/>
          <w:szCs w:val="24"/>
          <w:lang w:val="en-GB" w:eastAsia="cs-CZ"/>
        </w:rPr>
        <w:t>1987</w:t>
      </w:r>
      <w:r>
        <w:rPr>
          <w:rFonts w:ascii="Times New Roman" w:eastAsia="Times New Roman" w:hAnsi="Times New Roman" w:cs="Times New Roman"/>
          <w:bCs/>
          <w:sz w:val="24"/>
          <w:szCs w:val="24"/>
          <w:lang w:val="en-GB" w:eastAsia="cs-CZ"/>
        </w:rPr>
        <w:t>)</w:t>
      </w:r>
      <w:r w:rsidRPr="00936FE2">
        <w:rPr>
          <w:rFonts w:ascii="Times New Roman" w:eastAsia="Times New Roman" w:hAnsi="Times New Roman" w:cs="Times New Roman"/>
          <w:bCs/>
          <w:sz w:val="24"/>
          <w:szCs w:val="24"/>
          <w:lang w:val="en-GB" w:eastAsia="cs-CZ"/>
        </w:rPr>
        <w:t xml:space="preserve">: </w:t>
      </w:r>
      <w:proofErr w:type="spellStart"/>
      <w:r w:rsidRPr="00936FE2">
        <w:rPr>
          <w:rFonts w:ascii="Times New Roman" w:eastAsia="Times New Roman" w:hAnsi="Times New Roman" w:cs="Times New Roman"/>
          <w:bCs/>
          <w:sz w:val="24"/>
          <w:szCs w:val="24"/>
          <w:lang w:val="en-GB" w:eastAsia="cs-CZ"/>
        </w:rPr>
        <w:t>Přirozené</w:t>
      </w:r>
      <w:proofErr w:type="spellEnd"/>
      <w:r w:rsidRPr="00936FE2">
        <w:rPr>
          <w:rFonts w:ascii="Times New Roman" w:eastAsia="Times New Roman" w:hAnsi="Times New Roman" w:cs="Times New Roman"/>
          <w:bCs/>
          <w:sz w:val="24"/>
          <w:szCs w:val="24"/>
          <w:lang w:val="en-GB" w:eastAsia="cs-CZ"/>
        </w:rPr>
        <w:t xml:space="preserve"> </w:t>
      </w:r>
      <w:proofErr w:type="spellStart"/>
      <w:r w:rsidRPr="00936FE2">
        <w:rPr>
          <w:rFonts w:ascii="Times New Roman" w:eastAsia="Times New Roman" w:hAnsi="Times New Roman" w:cs="Times New Roman"/>
          <w:bCs/>
          <w:sz w:val="24"/>
          <w:szCs w:val="24"/>
          <w:lang w:val="en-GB" w:eastAsia="cs-CZ"/>
        </w:rPr>
        <w:t>obsahy</w:t>
      </w:r>
      <w:proofErr w:type="spellEnd"/>
      <w:r w:rsidRPr="00936FE2">
        <w:rPr>
          <w:rFonts w:ascii="Times New Roman" w:eastAsia="Times New Roman" w:hAnsi="Times New Roman" w:cs="Times New Roman"/>
          <w:bCs/>
          <w:sz w:val="24"/>
          <w:szCs w:val="24"/>
          <w:lang w:val="en-GB" w:eastAsia="cs-CZ"/>
        </w:rPr>
        <w:t xml:space="preserve">, </w:t>
      </w:r>
      <w:proofErr w:type="spellStart"/>
      <w:r w:rsidRPr="00936FE2">
        <w:rPr>
          <w:rFonts w:ascii="Times New Roman" w:eastAsia="Times New Roman" w:hAnsi="Times New Roman" w:cs="Times New Roman"/>
          <w:bCs/>
          <w:sz w:val="24"/>
          <w:szCs w:val="24"/>
          <w:lang w:val="en-GB" w:eastAsia="cs-CZ"/>
        </w:rPr>
        <w:t>distribuce</w:t>
      </w:r>
      <w:proofErr w:type="spellEnd"/>
      <w:r w:rsidRPr="00936FE2">
        <w:rPr>
          <w:rFonts w:ascii="Times New Roman" w:eastAsia="Times New Roman" w:hAnsi="Times New Roman" w:cs="Times New Roman"/>
          <w:bCs/>
          <w:sz w:val="24"/>
          <w:szCs w:val="24"/>
          <w:lang w:val="en-GB" w:eastAsia="cs-CZ"/>
        </w:rPr>
        <w:t xml:space="preserve"> a </w:t>
      </w:r>
      <w:proofErr w:type="spellStart"/>
      <w:r w:rsidRPr="00936FE2">
        <w:rPr>
          <w:rFonts w:ascii="Times New Roman" w:eastAsia="Times New Roman" w:hAnsi="Times New Roman" w:cs="Times New Roman"/>
          <w:bCs/>
          <w:sz w:val="24"/>
          <w:szCs w:val="24"/>
          <w:lang w:val="en-GB" w:eastAsia="cs-CZ"/>
        </w:rPr>
        <w:t>klasifikace</w:t>
      </w:r>
      <w:proofErr w:type="spellEnd"/>
      <w:r w:rsidRPr="00936FE2">
        <w:rPr>
          <w:rFonts w:ascii="Times New Roman" w:eastAsia="Times New Roman" w:hAnsi="Times New Roman" w:cs="Times New Roman"/>
          <w:bCs/>
          <w:sz w:val="24"/>
          <w:szCs w:val="24"/>
          <w:lang w:val="en-GB" w:eastAsia="cs-CZ"/>
        </w:rPr>
        <w:t xml:space="preserve"> </w:t>
      </w:r>
      <w:proofErr w:type="spellStart"/>
      <w:r w:rsidRPr="00936FE2">
        <w:rPr>
          <w:rFonts w:ascii="Times New Roman" w:eastAsia="Times New Roman" w:hAnsi="Times New Roman" w:cs="Times New Roman"/>
          <w:bCs/>
          <w:sz w:val="24"/>
          <w:szCs w:val="24"/>
          <w:lang w:val="en-GB" w:eastAsia="cs-CZ"/>
        </w:rPr>
        <w:t>prvků</w:t>
      </w:r>
      <w:proofErr w:type="spellEnd"/>
      <w:r w:rsidRPr="00936FE2">
        <w:rPr>
          <w:rFonts w:ascii="Times New Roman" w:eastAsia="Times New Roman" w:hAnsi="Times New Roman" w:cs="Times New Roman"/>
          <w:bCs/>
          <w:sz w:val="24"/>
          <w:szCs w:val="24"/>
          <w:lang w:val="en-GB" w:eastAsia="cs-CZ"/>
        </w:rPr>
        <w:t xml:space="preserve"> v </w:t>
      </w:r>
      <w:proofErr w:type="spellStart"/>
      <w:r w:rsidRPr="00936FE2">
        <w:rPr>
          <w:rFonts w:ascii="Times New Roman" w:eastAsia="Times New Roman" w:hAnsi="Times New Roman" w:cs="Times New Roman"/>
          <w:bCs/>
          <w:sz w:val="24"/>
          <w:szCs w:val="24"/>
          <w:lang w:val="en-GB" w:eastAsia="cs-CZ"/>
        </w:rPr>
        <w:t>půdách</w:t>
      </w:r>
      <w:proofErr w:type="spellEnd"/>
      <w:r w:rsidRPr="00936FE2">
        <w:rPr>
          <w:rFonts w:ascii="Times New Roman" w:eastAsia="Times New Roman" w:hAnsi="Times New Roman" w:cs="Times New Roman"/>
          <w:bCs/>
          <w:sz w:val="24"/>
          <w:szCs w:val="24"/>
          <w:lang w:val="en-GB" w:eastAsia="cs-CZ"/>
        </w:rPr>
        <w:t>. Praha, 1987, 205</w:t>
      </w:r>
      <w:r>
        <w:rPr>
          <w:rFonts w:ascii="Times New Roman" w:eastAsia="Times New Roman" w:hAnsi="Times New Roman" w:cs="Times New Roman"/>
          <w:bCs/>
          <w:sz w:val="24"/>
          <w:szCs w:val="24"/>
          <w:lang w:val="en-GB" w:eastAsia="cs-CZ"/>
        </w:rPr>
        <w:t xml:space="preserve"> s</w:t>
      </w:r>
      <w:r w:rsidRPr="00936FE2">
        <w:rPr>
          <w:rFonts w:ascii="Times New Roman" w:eastAsia="Times New Roman" w:hAnsi="Times New Roman" w:cs="Times New Roman"/>
          <w:bCs/>
          <w:sz w:val="24"/>
          <w:szCs w:val="24"/>
          <w:lang w:val="en-GB" w:eastAsia="cs-CZ"/>
        </w:rPr>
        <w:t>.</w:t>
      </w:r>
    </w:p>
    <w:p w:rsidR="001F59C3" w:rsidRPr="00DD346F" w:rsidRDefault="001F59C3" w:rsidP="001F59C3">
      <w:pPr>
        <w:spacing w:after="120"/>
        <w:rPr>
          <w:rFonts w:ascii="Times New Roman" w:eastAsia="Times New Roman" w:hAnsi="Times New Roman" w:cs="Times New Roman"/>
          <w:bCs/>
          <w:sz w:val="24"/>
          <w:szCs w:val="24"/>
          <w:lang w:val="en-GB" w:eastAsia="cs-CZ"/>
        </w:rPr>
      </w:pPr>
      <w:proofErr w:type="spellStart"/>
      <w:r w:rsidRPr="00DD346F">
        <w:rPr>
          <w:rFonts w:ascii="Times New Roman" w:eastAsia="Times New Roman" w:hAnsi="Times New Roman" w:cs="Times New Roman"/>
          <w:bCs/>
          <w:sz w:val="24"/>
          <w:szCs w:val="24"/>
          <w:lang w:val="en-GB" w:eastAsia="cs-CZ"/>
        </w:rPr>
        <w:t>Cibulka</w:t>
      </w:r>
      <w:proofErr w:type="spellEnd"/>
      <w:r w:rsidRPr="00DD346F">
        <w:rPr>
          <w:rFonts w:ascii="Times New Roman" w:eastAsia="Times New Roman" w:hAnsi="Times New Roman" w:cs="Times New Roman"/>
          <w:bCs/>
          <w:sz w:val="24"/>
          <w:szCs w:val="24"/>
          <w:lang w:val="en-GB" w:eastAsia="cs-CZ"/>
        </w:rPr>
        <w:t xml:space="preserve"> J. et al. </w:t>
      </w:r>
      <w:r>
        <w:rPr>
          <w:rFonts w:ascii="Times New Roman" w:eastAsia="Times New Roman" w:hAnsi="Times New Roman" w:cs="Times New Roman"/>
          <w:bCs/>
          <w:sz w:val="24"/>
          <w:szCs w:val="24"/>
          <w:lang w:val="en-GB" w:eastAsia="cs-CZ"/>
        </w:rPr>
        <w:t>(</w:t>
      </w:r>
      <w:r w:rsidRPr="00DD346F">
        <w:rPr>
          <w:rFonts w:ascii="Times New Roman" w:eastAsia="Times New Roman" w:hAnsi="Times New Roman" w:cs="Times New Roman"/>
          <w:bCs/>
          <w:sz w:val="24"/>
          <w:szCs w:val="24"/>
          <w:lang w:val="en-GB" w:eastAsia="cs-CZ"/>
        </w:rPr>
        <w:t>1991</w:t>
      </w:r>
      <w:r>
        <w:rPr>
          <w:rFonts w:ascii="Times New Roman" w:eastAsia="Times New Roman" w:hAnsi="Times New Roman" w:cs="Times New Roman"/>
          <w:bCs/>
          <w:sz w:val="24"/>
          <w:szCs w:val="24"/>
          <w:lang w:val="en-GB" w:eastAsia="cs-CZ"/>
        </w:rPr>
        <w:t>)</w:t>
      </w:r>
      <w:r w:rsidRPr="00DD346F">
        <w:rPr>
          <w:rFonts w:ascii="Times New Roman" w:eastAsia="Times New Roman" w:hAnsi="Times New Roman" w:cs="Times New Roman"/>
          <w:bCs/>
          <w:sz w:val="24"/>
          <w:szCs w:val="24"/>
          <w:lang w:val="en-GB" w:eastAsia="cs-CZ"/>
        </w:rPr>
        <w:t xml:space="preserve">: </w:t>
      </w:r>
      <w:proofErr w:type="spellStart"/>
      <w:r w:rsidRPr="00DD346F">
        <w:rPr>
          <w:rFonts w:ascii="Times New Roman" w:eastAsia="Times New Roman" w:hAnsi="Times New Roman" w:cs="Times New Roman"/>
          <w:bCs/>
          <w:sz w:val="24"/>
          <w:szCs w:val="24"/>
          <w:lang w:val="en-GB" w:eastAsia="cs-CZ"/>
        </w:rPr>
        <w:t>Pohyb</w:t>
      </w:r>
      <w:proofErr w:type="spellEnd"/>
      <w:r w:rsidRPr="00DD346F">
        <w:rPr>
          <w:rFonts w:ascii="Times New Roman" w:eastAsia="Times New Roman" w:hAnsi="Times New Roman" w:cs="Times New Roman"/>
          <w:bCs/>
          <w:sz w:val="24"/>
          <w:szCs w:val="24"/>
          <w:lang w:val="en-GB" w:eastAsia="cs-CZ"/>
        </w:rPr>
        <w:t xml:space="preserve"> </w:t>
      </w:r>
      <w:proofErr w:type="spellStart"/>
      <w:r w:rsidRPr="00DD346F">
        <w:rPr>
          <w:rFonts w:ascii="Times New Roman" w:eastAsia="Times New Roman" w:hAnsi="Times New Roman" w:cs="Times New Roman"/>
          <w:bCs/>
          <w:sz w:val="24"/>
          <w:szCs w:val="24"/>
          <w:lang w:val="en-GB" w:eastAsia="cs-CZ"/>
        </w:rPr>
        <w:t>olova</w:t>
      </w:r>
      <w:proofErr w:type="spellEnd"/>
      <w:r w:rsidRPr="00DD346F">
        <w:rPr>
          <w:rFonts w:ascii="Times New Roman" w:eastAsia="Times New Roman" w:hAnsi="Times New Roman" w:cs="Times New Roman"/>
          <w:bCs/>
          <w:sz w:val="24"/>
          <w:szCs w:val="24"/>
          <w:lang w:val="en-GB" w:eastAsia="cs-CZ"/>
        </w:rPr>
        <w:t xml:space="preserve">, </w:t>
      </w:r>
      <w:proofErr w:type="spellStart"/>
      <w:r w:rsidRPr="00DD346F">
        <w:rPr>
          <w:rFonts w:ascii="Times New Roman" w:eastAsia="Times New Roman" w:hAnsi="Times New Roman" w:cs="Times New Roman"/>
          <w:bCs/>
          <w:sz w:val="24"/>
          <w:szCs w:val="24"/>
          <w:lang w:val="en-GB" w:eastAsia="cs-CZ"/>
        </w:rPr>
        <w:t>kadmia</w:t>
      </w:r>
      <w:proofErr w:type="spellEnd"/>
      <w:r w:rsidRPr="00DD346F">
        <w:rPr>
          <w:rFonts w:ascii="Times New Roman" w:eastAsia="Times New Roman" w:hAnsi="Times New Roman" w:cs="Times New Roman"/>
          <w:bCs/>
          <w:sz w:val="24"/>
          <w:szCs w:val="24"/>
          <w:lang w:val="en-GB" w:eastAsia="cs-CZ"/>
        </w:rPr>
        <w:t xml:space="preserve"> </w:t>
      </w:r>
      <w:proofErr w:type="gramStart"/>
      <w:r w:rsidRPr="00DD346F">
        <w:rPr>
          <w:rFonts w:ascii="Times New Roman" w:eastAsia="Times New Roman" w:hAnsi="Times New Roman" w:cs="Times New Roman"/>
          <w:bCs/>
          <w:sz w:val="24"/>
          <w:szCs w:val="24"/>
          <w:lang w:val="en-GB" w:eastAsia="cs-CZ"/>
        </w:rPr>
        <w:t>a</w:t>
      </w:r>
      <w:proofErr w:type="gramEnd"/>
      <w:r w:rsidRPr="00DD346F">
        <w:rPr>
          <w:rFonts w:ascii="Times New Roman" w:eastAsia="Times New Roman" w:hAnsi="Times New Roman" w:cs="Times New Roman"/>
          <w:bCs/>
          <w:sz w:val="24"/>
          <w:szCs w:val="24"/>
          <w:lang w:val="en-GB" w:eastAsia="cs-CZ"/>
        </w:rPr>
        <w:t xml:space="preserve"> </w:t>
      </w:r>
      <w:proofErr w:type="spellStart"/>
      <w:r w:rsidRPr="00DD346F">
        <w:rPr>
          <w:rFonts w:ascii="Times New Roman" w:eastAsia="Times New Roman" w:hAnsi="Times New Roman" w:cs="Times New Roman"/>
          <w:bCs/>
          <w:sz w:val="24"/>
          <w:szCs w:val="24"/>
          <w:lang w:val="en-GB" w:eastAsia="cs-CZ"/>
        </w:rPr>
        <w:t>rtuti</w:t>
      </w:r>
      <w:proofErr w:type="spellEnd"/>
      <w:r w:rsidRPr="00DD346F">
        <w:rPr>
          <w:rFonts w:ascii="Times New Roman" w:eastAsia="Times New Roman" w:hAnsi="Times New Roman" w:cs="Times New Roman"/>
          <w:bCs/>
          <w:sz w:val="24"/>
          <w:szCs w:val="24"/>
          <w:lang w:val="en-GB" w:eastAsia="cs-CZ"/>
        </w:rPr>
        <w:t xml:space="preserve"> v </w:t>
      </w:r>
      <w:proofErr w:type="spellStart"/>
      <w:r w:rsidRPr="00DD346F">
        <w:rPr>
          <w:rFonts w:ascii="Times New Roman" w:eastAsia="Times New Roman" w:hAnsi="Times New Roman" w:cs="Times New Roman"/>
          <w:bCs/>
          <w:sz w:val="24"/>
          <w:szCs w:val="24"/>
          <w:lang w:val="en-GB" w:eastAsia="cs-CZ"/>
        </w:rPr>
        <w:t>biosféře</w:t>
      </w:r>
      <w:proofErr w:type="spellEnd"/>
      <w:r w:rsidRPr="00DD346F">
        <w:rPr>
          <w:rFonts w:ascii="Times New Roman" w:eastAsia="Times New Roman" w:hAnsi="Times New Roman" w:cs="Times New Roman"/>
          <w:bCs/>
          <w:sz w:val="24"/>
          <w:szCs w:val="24"/>
          <w:lang w:val="en-GB" w:eastAsia="cs-CZ"/>
        </w:rPr>
        <w:t>. Academia Praha, 1991, 427 s.</w:t>
      </w:r>
    </w:p>
    <w:p w:rsidR="001F59C3" w:rsidRDefault="001F59C3" w:rsidP="001F59C3">
      <w:pPr>
        <w:spacing w:after="120"/>
        <w:rPr>
          <w:rFonts w:ascii="Times New Roman" w:eastAsia="Times New Roman" w:hAnsi="Times New Roman" w:cs="Times New Roman"/>
          <w:bCs/>
          <w:sz w:val="24"/>
          <w:szCs w:val="24"/>
          <w:lang w:val="en-GB" w:eastAsia="cs-CZ"/>
        </w:rPr>
      </w:pPr>
      <w:proofErr w:type="spellStart"/>
      <w:r w:rsidRPr="00DD346F">
        <w:rPr>
          <w:rFonts w:ascii="Times New Roman" w:eastAsia="Times New Roman" w:hAnsi="Times New Roman" w:cs="Times New Roman"/>
          <w:bCs/>
          <w:sz w:val="24"/>
          <w:szCs w:val="24"/>
          <w:lang w:val="en-GB" w:eastAsia="cs-CZ"/>
        </w:rPr>
        <w:t>Coughtrey</w:t>
      </w:r>
      <w:proofErr w:type="spellEnd"/>
      <w:r w:rsidRPr="00DD346F">
        <w:rPr>
          <w:rFonts w:ascii="Times New Roman" w:eastAsia="Times New Roman" w:hAnsi="Times New Roman" w:cs="Times New Roman"/>
          <w:bCs/>
          <w:sz w:val="24"/>
          <w:szCs w:val="24"/>
          <w:lang w:val="en-GB" w:eastAsia="cs-CZ"/>
        </w:rPr>
        <w:t xml:space="preserve"> P. J., Thorne M. C. </w:t>
      </w:r>
      <w:r>
        <w:rPr>
          <w:rFonts w:ascii="Times New Roman" w:eastAsia="Times New Roman" w:hAnsi="Times New Roman" w:cs="Times New Roman"/>
          <w:bCs/>
          <w:sz w:val="24"/>
          <w:szCs w:val="24"/>
          <w:lang w:val="en-GB" w:eastAsia="cs-CZ"/>
        </w:rPr>
        <w:t>(</w:t>
      </w:r>
      <w:r w:rsidRPr="00DD346F">
        <w:rPr>
          <w:rFonts w:ascii="Times New Roman" w:eastAsia="Times New Roman" w:hAnsi="Times New Roman" w:cs="Times New Roman"/>
          <w:bCs/>
          <w:sz w:val="24"/>
          <w:szCs w:val="24"/>
          <w:lang w:val="en-GB" w:eastAsia="cs-CZ"/>
        </w:rPr>
        <w:t>1983</w:t>
      </w:r>
      <w:r>
        <w:rPr>
          <w:rFonts w:ascii="Times New Roman" w:eastAsia="Times New Roman" w:hAnsi="Times New Roman" w:cs="Times New Roman"/>
          <w:bCs/>
          <w:sz w:val="24"/>
          <w:szCs w:val="24"/>
          <w:lang w:val="en-GB" w:eastAsia="cs-CZ"/>
        </w:rPr>
        <w:t>)</w:t>
      </w:r>
      <w:r w:rsidRPr="00DD346F">
        <w:rPr>
          <w:rFonts w:ascii="Times New Roman" w:eastAsia="Times New Roman" w:hAnsi="Times New Roman" w:cs="Times New Roman"/>
          <w:bCs/>
          <w:sz w:val="24"/>
          <w:szCs w:val="24"/>
          <w:lang w:val="en-GB" w:eastAsia="cs-CZ"/>
        </w:rPr>
        <w:t>:</w:t>
      </w:r>
      <w:r>
        <w:rPr>
          <w:rFonts w:ascii="Times New Roman" w:eastAsia="Times New Roman" w:hAnsi="Times New Roman" w:cs="Times New Roman"/>
          <w:bCs/>
          <w:sz w:val="24"/>
          <w:szCs w:val="24"/>
          <w:lang w:val="en-GB" w:eastAsia="cs-CZ"/>
        </w:rPr>
        <w:t xml:space="preserve"> </w:t>
      </w:r>
      <w:r w:rsidRPr="00DD346F">
        <w:rPr>
          <w:rFonts w:ascii="Times New Roman" w:eastAsia="Times New Roman" w:hAnsi="Times New Roman" w:cs="Times New Roman"/>
          <w:bCs/>
          <w:sz w:val="24"/>
          <w:szCs w:val="24"/>
          <w:lang w:val="en-GB" w:eastAsia="cs-CZ"/>
        </w:rPr>
        <w:t xml:space="preserve">Radionuclide distribution and transport in terrestrial and aquatic ecosystems. A.A. </w:t>
      </w:r>
      <w:proofErr w:type="spellStart"/>
      <w:r w:rsidRPr="00DD346F">
        <w:rPr>
          <w:rFonts w:ascii="Times New Roman" w:eastAsia="Times New Roman" w:hAnsi="Times New Roman" w:cs="Times New Roman"/>
          <w:bCs/>
          <w:sz w:val="24"/>
          <w:szCs w:val="24"/>
          <w:lang w:val="en-GB" w:eastAsia="cs-CZ"/>
        </w:rPr>
        <w:t>Balkema</w:t>
      </w:r>
      <w:proofErr w:type="spellEnd"/>
      <w:r w:rsidRPr="00DD346F">
        <w:rPr>
          <w:rFonts w:ascii="Times New Roman" w:eastAsia="Times New Roman" w:hAnsi="Times New Roman" w:cs="Times New Roman"/>
          <w:bCs/>
          <w:sz w:val="24"/>
          <w:szCs w:val="24"/>
          <w:lang w:val="en-GB" w:eastAsia="cs-CZ"/>
        </w:rPr>
        <w:t xml:space="preserve">, Rotterdam, 1983, In </w:t>
      </w:r>
      <w:proofErr w:type="spellStart"/>
      <w:r w:rsidRPr="00DD346F">
        <w:rPr>
          <w:rFonts w:ascii="Times New Roman" w:eastAsia="Times New Roman" w:hAnsi="Times New Roman" w:cs="Times New Roman"/>
          <w:bCs/>
          <w:sz w:val="24"/>
          <w:szCs w:val="24"/>
          <w:lang w:val="en-GB" w:eastAsia="cs-CZ"/>
        </w:rPr>
        <w:t>Beneš</w:t>
      </w:r>
      <w:proofErr w:type="spellEnd"/>
      <w:r w:rsidRPr="00DD346F">
        <w:rPr>
          <w:rFonts w:ascii="Times New Roman" w:eastAsia="Times New Roman" w:hAnsi="Times New Roman" w:cs="Times New Roman"/>
          <w:bCs/>
          <w:sz w:val="24"/>
          <w:szCs w:val="24"/>
          <w:lang w:val="en-GB" w:eastAsia="cs-CZ"/>
        </w:rPr>
        <w:t xml:space="preserve">, S., </w:t>
      </w:r>
      <w:proofErr w:type="spellStart"/>
      <w:r w:rsidRPr="00DD346F">
        <w:rPr>
          <w:rFonts w:ascii="Times New Roman" w:eastAsia="Times New Roman" w:hAnsi="Times New Roman" w:cs="Times New Roman"/>
          <w:bCs/>
          <w:sz w:val="24"/>
          <w:szCs w:val="24"/>
          <w:lang w:val="en-GB" w:eastAsia="cs-CZ"/>
        </w:rPr>
        <w:t>Pabiánová</w:t>
      </w:r>
      <w:proofErr w:type="spellEnd"/>
      <w:r w:rsidRPr="00DD346F">
        <w:rPr>
          <w:rFonts w:ascii="Times New Roman" w:eastAsia="Times New Roman" w:hAnsi="Times New Roman" w:cs="Times New Roman"/>
          <w:bCs/>
          <w:sz w:val="24"/>
          <w:szCs w:val="24"/>
          <w:lang w:val="en-GB" w:eastAsia="cs-CZ"/>
        </w:rPr>
        <w:t xml:space="preserve">, J. 1987: </w:t>
      </w:r>
      <w:proofErr w:type="spellStart"/>
      <w:r w:rsidRPr="00DD346F">
        <w:rPr>
          <w:rFonts w:ascii="Times New Roman" w:eastAsia="Times New Roman" w:hAnsi="Times New Roman" w:cs="Times New Roman"/>
          <w:bCs/>
          <w:sz w:val="24"/>
          <w:szCs w:val="24"/>
          <w:lang w:val="en-GB" w:eastAsia="cs-CZ"/>
        </w:rPr>
        <w:t>Přirozené</w:t>
      </w:r>
      <w:proofErr w:type="spellEnd"/>
      <w:r w:rsidRPr="00DD346F">
        <w:rPr>
          <w:rFonts w:ascii="Times New Roman" w:eastAsia="Times New Roman" w:hAnsi="Times New Roman" w:cs="Times New Roman"/>
          <w:bCs/>
          <w:sz w:val="24"/>
          <w:szCs w:val="24"/>
          <w:lang w:val="en-GB" w:eastAsia="cs-CZ"/>
        </w:rPr>
        <w:t xml:space="preserve"> </w:t>
      </w:r>
      <w:proofErr w:type="spellStart"/>
      <w:r w:rsidRPr="00DD346F">
        <w:rPr>
          <w:rFonts w:ascii="Times New Roman" w:eastAsia="Times New Roman" w:hAnsi="Times New Roman" w:cs="Times New Roman"/>
          <w:bCs/>
          <w:sz w:val="24"/>
          <w:szCs w:val="24"/>
          <w:lang w:val="en-GB" w:eastAsia="cs-CZ"/>
        </w:rPr>
        <w:t>obsahy</w:t>
      </w:r>
      <w:proofErr w:type="spellEnd"/>
      <w:r w:rsidRPr="00DD346F">
        <w:rPr>
          <w:rFonts w:ascii="Times New Roman" w:eastAsia="Times New Roman" w:hAnsi="Times New Roman" w:cs="Times New Roman"/>
          <w:bCs/>
          <w:sz w:val="24"/>
          <w:szCs w:val="24"/>
          <w:lang w:val="en-GB" w:eastAsia="cs-CZ"/>
        </w:rPr>
        <w:t xml:space="preserve">, </w:t>
      </w:r>
      <w:proofErr w:type="spellStart"/>
      <w:r w:rsidRPr="00DD346F">
        <w:rPr>
          <w:rFonts w:ascii="Times New Roman" w:eastAsia="Times New Roman" w:hAnsi="Times New Roman" w:cs="Times New Roman"/>
          <w:bCs/>
          <w:sz w:val="24"/>
          <w:szCs w:val="24"/>
          <w:lang w:val="en-GB" w:eastAsia="cs-CZ"/>
        </w:rPr>
        <w:t>distribuce</w:t>
      </w:r>
      <w:proofErr w:type="spellEnd"/>
      <w:r w:rsidRPr="00DD346F">
        <w:rPr>
          <w:rFonts w:ascii="Times New Roman" w:eastAsia="Times New Roman" w:hAnsi="Times New Roman" w:cs="Times New Roman"/>
          <w:bCs/>
          <w:sz w:val="24"/>
          <w:szCs w:val="24"/>
          <w:lang w:val="en-GB" w:eastAsia="cs-CZ"/>
        </w:rPr>
        <w:t xml:space="preserve"> a </w:t>
      </w:r>
      <w:proofErr w:type="spellStart"/>
      <w:r w:rsidRPr="00DD346F">
        <w:rPr>
          <w:rFonts w:ascii="Times New Roman" w:eastAsia="Times New Roman" w:hAnsi="Times New Roman" w:cs="Times New Roman"/>
          <w:bCs/>
          <w:sz w:val="24"/>
          <w:szCs w:val="24"/>
          <w:lang w:val="en-GB" w:eastAsia="cs-CZ"/>
        </w:rPr>
        <w:t>klasifikace</w:t>
      </w:r>
      <w:proofErr w:type="spellEnd"/>
      <w:r w:rsidRPr="00DD346F">
        <w:rPr>
          <w:rFonts w:ascii="Times New Roman" w:eastAsia="Times New Roman" w:hAnsi="Times New Roman" w:cs="Times New Roman"/>
          <w:bCs/>
          <w:sz w:val="24"/>
          <w:szCs w:val="24"/>
          <w:lang w:val="en-GB" w:eastAsia="cs-CZ"/>
        </w:rPr>
        <w:t xml:space="preserve"> </w:t>
      </w:r>
      <w:proofErr w:type="spellStart"/>
      <w:r w:rsidRPr="00DD346F">
        <w:rPr>
          <w:rFonts w:ascii="Times New Roman" w:eastAsia="Times New Roman" w:hAnsi="Times New Roman" w:cs="Times New Roman"/>
          <w:bCs/>
          <w:sz w:val="24"/>
          <w:szCs w:val="24"/>
          <w:lang w:val="en-GB" w:eastAsia="cs-CZ"/>
        </w:rPr>
        <w:t>prvků</w:t>
      </w:r>
      <w:proofErr w:type="spellEnd"/>
      <w:r w:rsidRPr="00DD346F">
        <w:rPr>
          <w:rFonts w:ascii="Times New Roman" w:eastAsia="Times New Roman" w:hAnsi="Times New Roman" w:cs="Times New Roman"/>
          <w:bCs/>
          <w:sz w:val="24"/>
          <w:szCs w:val="24"/>
          <w:lang w:val="en-GB" w:eastAsia="cs-CZ"/>
        </w:rPr>
        <w:t xml:space="preserve"> v </w:t>
      </w:r>
      <w:proofErr w:type="spellStart"/>
      <w:r w:rsidRPr="00DD346F">
        <w:rPr>
          <w:rFonts w:ascii="Times New Roman" w:eastAsia="Times New Roman" w:hAnsi="Times New Roman" w:cs="Times New Roman"/>
          <w:bCs/>
          <w:sz w:val="24"/>
          <w:szCs w:val="24"/>
          <w:lang w:val="en-GB" w:eastAsia="cs-CZ"/>
        </w:rPr>
        <w:t>půdách</w:t>
      </w:r>
      <w:proofErr w:type="spellEnd"/>
      <w:r w:rsidRPr="00DD346F">
        <w:rPr>
          <w:rFonts w:ascii="Times New Roman" w:eastAsia="Times New Roman" w:hAnsi="Times New Roman" w:cs="Times New Roman"/>
          <w:bCs/>
          <w:sz w:val="24"/>
          <w:szCs w:val="24"/>
          <w:lang w:val="en-GB" w:eastAsia="cs-CZ"/>
        </w:rPr>
        <w:t>. Praha, 1987, 205</w:t>
      </w:r>
      <w:r>
        <w:rPr>
          <w:rFonts w:ascii="Times New Roman" w:eastAsia="Times New Roman" w:hAnsi="Times New Roman" w:cs="Times New Roman"/>
          <w:bCs/>
          <w:sz w:val="24"/>
          <w:szCs w:val="24"/>
          <w:lang w:val="en-GB" w:eastAsia="cs-CZ"/>
        </w:rPr>
        <w:t xml:space="preserve"> s</w:t>
      </w:r>
      <w:r w:rsidRPr="00DD346F">
        <w:rPr>
          <w:rFonts w:ascii="Times New Roman" w:eastAsia="Times New Roman" w:hAnsi="Times New Roman" w:cs="Times New Roman"/>
          <w:bCs/>
          <w:sz w:val="24"/>
          <w:szCs w:val="24"/>
          <w:lang w:val="en-GB" w:eastAsia="cs-CZ"/>
        </w:rPr>
        <w:t>.</w:t>
      </w:r>
    </w:p>
    <w:p w:rsidR="001F59C3" w:rsidRPr="003F04C6" w:rsidRDefault="001F59C3" w:rsidP="001F59C3">
      <w:pPr>
        <w:spacing w:after="120"/>
        <w:rPr>
          <w:rFonts w:ascii="Times New Roman" w:eastAsia="Times New Roman" w:hAnsi="Times New Roman" w:cs="Times New Roman"/>
          <w:bCs/>
          <w:sz w:val="24"/>
          <w:szCs w:val="24"/>
          <w:lang w:val="en-GB" w:eastAsia="cs-CZ"/>
        </w:rPr>
      </w:pPr>
      <w:proofErr w:type="spellStart"/>
      <w:r w:rsidRPr="003F04C6">
        <w:rPr>
          <w:rFonts w:ascii="Times New Roman" w:eastAsia="Times New Roman" w:hAnsi="Times New Roman" w:cs="Times New Roman"/>
          <w:bCs/>
          <w:sz w:val="24"/>
          <w:szCs w:val="24"/>
          <w:lang w:val="en-GB" w:eastAsia="cs-CZ"/>
        </w:rPr>
        <w:t>Csillag</w:t>
      </w:r>
      <w:proofErr w:type="spellEnd"/>
      <w:r w:rsidRPr="003F04C6">
        <w:rPr>
          <w:rFonts w:ascii="Times New Roman" w:eastAsia="Times New Roman" w:hAnsi="Times New Roman" w:cs="Times New Roman"/>
          <w:bCs/>
          <w:sz w:val="24"/>
          <w:szCs w:val="24"/>
          <w:lang w:val="en-GB" w:eastAsia="cs-CZ"/>
        </w:rPr>
        <w:t xml:space="preserve"> J., </w:t>
      </w:r>
      <w:proofErr w:type="spellStart"/>
      <w:r w:rsidRPr="003F04C6">
        <w:rPr>
          <w:rFonts w:ascii="Times New Roman" w:eastAsia="Times New Roman" w:hAnsi="Times New Roman" w:cs="Times New Roman"/>
          <w:bCs/>
          <w:sz w:val="24"/>
          <w:szCs w:val="24"/>
          <w:lang w:val="en-GB" w:eastAsia="cs-CZ"/>
        </w:rPr>
        <w:t>Lukács</w:t>
      </w:r>
      <w:proofErr w:type="spellEnd"/>
      <w:r w:rsidRPr="003F04C6">
        <w:rPr>
          <w:rFonts w:ascii="Times New Roman" w:eastAsia="Times New Roman" w:hAnsi="Times New Roman" w:cs="Times New Roman"/>
          <w:bCs/>
          <w:sz w:val="24"/>
          <w:szCs w:val="24"/>
          <w:lang w:val="en-GB" w:eastAsia="cs-CZ"/>
        </w:rPr>
        <w:t xml:space="preserve"> A., </w:t>
      </w:r>
      <w:proofErr w:type="spellStart"/>
      <w:proofErr w:type="gramStart"/>
      <w:r w:rsidRPr="003F04C6">
        <w:rPr>
          <w:rFonts w:ascii="Times New Roman" w:eastAsia="Times New Roman" w:hAnsi="Times New Roman" w:cs="Times New Roman"/>
          <w:bCs/>
          <w:sz w:val="24"/>
          <w:szCs w:val="24"/>
          <w:lang w:val="en-GB" w:eastAsia="cs-CZ"/>
        </w:rPr>
        <w:t>Bujtás</w:t>
      </w:r>
      <w:proofErr w:type="spellEnd"/>
      <w:proofErr w:type="gramEnd"/>
      <w:r w:rsidRPr="003F04C6">
        <w:rPr>
          <w:rFonts w:ascii="Times New Roman" w:eastAsia="Times New Roman" w:hAnsi="Times New Roman" w:cs="Times New Roman"/>
          <w:bCs/>
          <w:sz w:val="24"/>
          <w:szCs w:val="24"/>
          <w:lang w:val="en-GB" w:eastAsia="cs-CZ"/>
        </w:rPr>
        <w:t xml:space="preserve"> K., </w:t>
      </w:r>
      <w:proofErr w:type="spellStart"/>
      <w:r w:rsidRPr="003F04C6">
        <w:rPr>
          <w:rFonts w:ascii="Times New Roman" w:eastAsia="Times New Roman" w:hAnsi="Times New Roman" w:cs="Times New Roman"/>
          <w:bCs/>
          <w:sz w:val="24"/>
          <w:szCs w:val="24"/>
          <w:lang w:val="en-GB" w:eastAsia="cs-CZ"/>
        </w:rPr>
        <w:t>Németh</w:t>
      </w:r>
      <w:proofErr w:type="spellEnd"/>
      <w:r w:rsidRPr="003F04C6">
        <w:rPr>
          <w:rFonts w:ascii="Times New Roman" w:eastAsia="Times New Roman" w:hAnsi="Times New Roman" w:cs="Times New Roman"/>
          <w:bCs/>
          <w:sz w:val="24"/>
          <w:szCs w:val="24"/>
          <w:lang w:val="en-GB" w:eastAsia="cs-CZ"/>
        </w:rPr>
        <w:t xml:space="preserve"> T. </w:t>
      </w:r>
      <w:r>
        <w:rPr>
          <w:rFonts w:ascii="Times New Roman" w:eastAsia="Times New Roman" w:hAnsi="Times New Roman" w:cs="Times New Roman"/>
          <w:bCs/>
          <w:sz w:val="24"/>
          <w:szCs w:val="24"/>
          <w:lang w:val="en-GB" w:eastAsia="cs-CZ"/>
        </w:rPr>
        <w:t>(</w:t>
      </w:r>
      <w:r w:rsidRPr="003F04C6">
        <w:rPr>
          <w:rFonts w:ascii="Times New Roman" w:eastAsia="Times New Roman" w:hAnsi="Times New Roman" w:cs="Times New Roman"/>
          <w:bCs/>
          <w:sz w:val="24"/>
          <w:szCs w:val="24"/>
          <w:lang w:val="en-GB" w:eastAsia="cs-CZ"/>
        </w:rPr>
        <w:t>1999</w:t>
      </w:r>
      <w:r>
        <w:rPr>
          <w:rFonts w:ascii="Times New Roman" w:eastAsia="Times New Roman" w:hAnsi="Times New Roman" w:cs="Times New Roman"/>
          <w:bCs/>
          <w:sz w:val="24"/>
          <w:szCs w:val="24"/>
          <w:lang w:val="en-GB" w:eastAsia="cs-CZ"/>
        </w:rPr>
        <w:t>)</w:t>
      </w:r>
      <w:r w:rsidRPr="003F04C6">
        <w:rPr>
          <w:rFonts w:ascii="Times New Roman" w:eastAsia="Times New Roman" w:hAnsi="Times New Roman" w:cs="Times New Roman"/>
          <w:bCs/>
          <w:sz w:val="24"/>
          <w:szCs w:val="24"/>
          <w:lang w:val="en-GB" w:eastAsia="cs-CZ"/>
        </w:rPr>
        <w:t>: Mobilization of trace metals in acid treated contaminated soils. 5th International Conference on the Biogeochemistry of Trace Elements, 11.-15. July, Vienna, Austria</w:t>
      </w:r>
      <w:proofErr w:type="gramStart"/>
      <w:r w:rsidRPr="003F04C6">
        <w:rPr>
          <w:rFonts w:ascii="Times New Roman" w:eastAsia="Times New Roman" w:hAnsi="Times New Roman" w:cs="Times New Roman"/>
          <w:bCs/>
          <w:sz w:val="24"/>
          <w:szCs w:val="24"/>
          <w:lang w:val="en-GB" w:eastAsia="cs-CZ"/>
        </w:rPr>
        <w:t>,  Proceedings</w:t>
      </w:r>
      <w:proofErr w:type="gramEnd"/>
      <w:r w:rsidRPr="003F04C6">
        <w:rPr>
          <w:rFonts w:ascii="Times New Roman" w:eastAsia="Times New Roman" w:hAnsi="Times New Roman" w:cs="Times New Roman"/>
          <w:bCs/>
          <w:sz w:val="24"/>
          <w:szCs w:val="24"/>
          <w:lang w:val="en-GB" w:eastAsia="cs-CZ"/>
        </w:rPr>
        <w:t xml:space="preserve"> of extended abstracts, 772-773.</w:t>
      </w:r>
    </w:p>
    <w:p w:rsidR="001F59C3" w:rsidRDefault="001F59C3" w:rsidP="001F59C3">
      <w:pPr>
        <w:spacing w:after="120"/>
        <w:rPr>
          <w:rFonts w:ascii="Times New Roman" w:eastAsia="Times New Roman" w:hAnsi="Times New Roman" w:cs="Times New Roman"/>
          <w:bCs/>
          <w:sz w:val="24"/>
          <w:szCs w:val="24"/>
          <w:lang w:val="en-GB" w:eastAsia="cs-CZ"/>
        </w:rPr>
      </w:pPr>
      <w:r w:rsidRPr="0017145E">
        <w:rPr>
          <w:rFonts w:ascii="Times New Roman" w:eastAsia="Times New Roman" w:hAnsi="Times New Roman" w:cs="Times New Roman"/>
          <w:bCs/>
          <w:sz w:val="24"/>
          <w:szCs w:val="24"/>
          <w:lang w:val="en-GB" w:eastAsia="cs-CZ"/>
        </w:rPr>
        <w:t xml:space="preserve">Dar G. H. </w:t>
      </w:r>
      <w:r>
        <w:rPr>
          <w:rFonts w:ascii="Times New Roman" w:eastAsia="Times New Roman" w:hAnsi="Times New Roman" w:cs="Times New Roman"/>
          <w:bCs/>
          <w:sz w:val="24"/>
          <w:szCs w:val="24"/>
          <w:lang w:val="en-GB" w:eastAsia="cs-CZ"/>
        </w:rPr>
        <w:t>(</w:t>
      </w:r>
      <w:r w:rsidRPr="0017145E">
        <w:rPr>
          <w:rFonts w:ascii="Times New Roman" w:eastAsia="Times New Roman" w:hAnsi="Times New Roman" w:cs="Times New Roman"/>
          <w:bCs/>
          <w:sz w:val="24"/>
          <w:szCs w:val="24"/>
          <w:lang w:val="en-GB" w:eastAsia="cs-CZ"/>
        </w:rPr>
        <w:t>1997</w:t>
      </w:r>
      <w:r>
        <w:rPr>
          <w:rFonts w:ascii="Times New Roman" w:eastAsia="Times New Roman" w:hAnsi="Times New Roman" w:cs="Times New Roman"/>
          <w:bCs/>
          <w:sz w:val="24"/>
          <w:szCs w:val="24"/>
          <w:lang w:val="en-GB" w:eastAsia="cs-CZ"/>
        </w:rPr>
        <w:t>)</w:t>
      </w:r>
      <w:r w:rsidRPr="0017145E">
        <w:rPr>
          <w:rFonts w:ascii="Times New Roman" w:eastAsia="Times New Roman" w:hAnsi="Times New Roman" w:cs="Times New Roman"/>
          <w:bCs/>
          <w:sz w:val="24"/>
          <w:szCs w:val="24"/>
          <w:lang w:val="en-GB" w:eastAsia="cs-CZ"/>
        </w:rPr>
        <w:t xml:space="preserve">: Impact of lead and sewage sludge on soil microbial biomass and carbon and nitrogen mineralization. Bull. Environ. </w:t>
      </w:r>
      <w:proofErr w:type="spellStart"/>
      <w:r w:rsidRPr="0017145E">
        <w:rPr>
          <w:rFonts w:ascii="Times New Roman" w:eastAsia="Times New Roman" w:hAnsi="Times New Roman" w:cs="Times New Roman"/>
          <w:bCs/>
          <w:sz w:val="24"/>
          <w:szCs w:val="24"/>
          <w:lang w:val="en-GB" w:eastAsia="cs-CZ"/>
        </w:rPr>
        <w:t>Contam</w:t>
      </w:r>
      <w:proofErr w:type="spellEnd"/>
      <w:r w:rsidRPr="0017145E">
        <w:rPr>
          <w:rFonts w:ascii="Times New Roman" w:eastAsia="Times New Roman" w:hAnsi="Times New Roman" w:cs="Times New Roman"/>
          <w:bCs/>
          <w:sz w:val="24"/>
          <w:szCs w:val="24"/>
          <w:lang w:val="en-GB" w:eastAsia="cs-CZ"/>
        </w:rPr>
        <w:t xml:space="preserve">. </w:t>
      </w:r>
      <w:proofErr w:type="spellStart"/>
      <w:proofErr w:type="gramStart"/>
      <w:r w:rsidRPr="0017145E">
        <w:rPr>
          <w:rFonts w:ascii="Times New Roman" w:eastAsia="Times New Roman" w:hAnsi="Times New Roman" w:cs="Times New Roman"/>
          <w:bCs/>
          <w:sz w:val="24"/>
          <w:szCs w:val="24"/>
          <w:lang w:val="en-GB" w:eastAsia="cs-CZ"/>
        </w:rPr>
        <w:t>Toxicol</w:t>
      </w:r>
      <w:proofErr w:type="spellEnd"/>
      <w:r w:rsidRPr="0017145E">
        <w:rPr>
          <w:rFonts w:ascii="Times New Roman" w:eastAsia="Times New Roman" w:hAnsi="Times New Roman" w:cs="Times New Roman"/>
          <w:bCs/>
          <w:sz w:val="24"/>
          <w:szCs w:val="24"/>
          <w:lang w:val="en-GB" w:eastAsia="cs-CZ"/>
        </w:rPr>
        <w:t>.,</w:t>
      </w:r>
      <w:proofErr w:type="gramEnd"/>
      <w:r w:rsidRPr="0017145E">
        <w:rPr>
          <w:rFonts w:ascii="Times New Roman" w:eastAsia="Times New Roman" w:hAnsi="Times New Roman" w:cs="Times New Roman"/>
          <w:bCs/>
          <w:sz w:val="24"/>
          <w:szCs w:val="24"/>
          <w:lang w:val="en-GB" w:eastAsia="cs-CZ"/>
        </w:rPr>
        <w:t xml:space="preserve"> 1997, 58</w:t>
      </w:r>
      <w:r>
        <w:rPr>
          <w:rFonts w:ascii="Times New Roman" w:eastAsia="Times New Roman" w:hAnsi="Times New Roman" w:cs="Times New Roman"/>
          <w:bCs/>
          <w:sz w:val="24"/>
          <w:szCs w:val="24"/>
          <w:lang w:val="en-GB" w:eastAsia="cs-CZ"/>
        </w:rPr>
        <w:t>: 234-240.</w:t>
      </w:r>
    </w:p>
    <w:p w:rsidR="001F59C3" w:rsidRPr="00B94F7E" w:rsidRDefault="001F59C3" w:rsidP="001F59C3">
      <w:pPr>
        <w:spacing w:after="120"/>
        <w:rPr>
          <w:rFonts w:ascii="Times New Roman" w:eastAsia="Times New Roman" w:hAnsi="Times New Roman" w:cs="Times New Roman"/>
          <w:bCs/>
          <w:sz w:val="24"/>
          <w:szCs w:val="24"/>
          <w:lang w:val="en-GB" w:eastAsia="cs-CZ"/>
        </w:rPr>
      </w:pPr>
      <w:proofErr w:type="spellStart"/>
      <w:r w:rsidRPr="00DD346F">
        <w:rPr>
          <w:rFonts w:ascii="Times New Roman" w:eastAsia="Times New Roman" w:hAnsi="Times New Roman" w:cs="Times New Roman"/>
          <w:bCs/>
          <w:sz w:val="24"/>
          <w:szCs w:val="24"/>
          <w:lang w:val="en-GB" w:eastAsia="cs-CZ"/>
        </w:rPr>
        <w:t>Demin</w:t>
      </w:r>
      <w:proofErr w:type="spellEnd"/>
      <w:r w:rsidRPr="00DD346F">
        <w:rPr>
          <w:rFonts w:ascii="Times New Roman" w:eastAsia="Times New Roman" w:hAnsi="Times New Roman" w:cs="Times New Roman"/>
          <w:bCs/>
          <w:sz w:val="24"/>
          <w:szCs w:val="24"/>
          <w:lang w:val="en-GB" w:eastAsia="cs-CZ"/>
        </w:rPr>
        <w:t xml:space="preserve"> V. V., </w:t>
      </w:r>
      <w:proofErr w:type="spellStart"/>
      <w:r w:rsidRPr="00DD346F">
        <w:rPr>
          <w:rFonts w:ascii="Times New Roman" w:eastAsia="Times New Roman" w:hAnsi="Times New Roman" w:cs="Times New Roman"/>
          <w:bCs/>
          <w:sz w:val="24"/>
          <w:szCs w:val="24"/>
          <w:lang w:val="en-GB" w:eastAsia="cs-CZ"/>
        </w:rPr>
        <w:t>Zavarzina</w:t>
      </w:r>
      <w:proofErr w:type="spellEnd"/>
      <w:r w:rsidRPr="00DD346F">
        <w:rPr>
          <w:rFonts w:ascii="Times New Roman" w:eastAsia="Times New Roman" w:hAnsi="Times New Roman" w:cs="Times New Roman"/>
          <w:bCs/>
          <w:sz w:val="24"/>
          <w:szCs w:val="24"/>
          <w:lang w:val="en-GB" w:eastAsia="cs-CZ"/>
        </w:rPr>
        <w:t xml:space="preserve"> A. G., </w:t>
      </w:r>
      <w:proofErr w:type="spellStart"/>
      <w:r w:rsidRPr="00DD346F">
        <w:rPr>
          <w:rFonts w:ascii="Times New Roman" w:eastAsia="Times New Roman" w:hAnsi="Times New Roman" w:cs="Times New Roman"/>
          <w:bCs/>
          <w:sz w:val="24"/>
          <w:szCs w:val="24"/>
          <w:lang w:val="en-GB" w:eastAsia="cs-CZ"/>
        </w:rPr>
        <w:t>Orlov</w:t>
      </w:r>
      <w:proofErr w:type="spellEnd"/>
      <w:r w:rsidRPr="00DD346F">
        <w:rPr>
          <w:rFonts w:ascii="Times New Roman" w:eastAsia="Times New Roman" w:hAnsi="Times New Roman" w:cs="Times New Roman"/>
          <w:bCs/>
          <w:sz w:val="24"/>
          <w:szCs w:val="24"/>
          <w:lang w:val="en-GB" w:eastAsia="cs-CZ"/>
        </w:rPr>
        <w:t xml:space="preserve"> D. S. </w:t>
      </w:r>
      <w:r>
        <w:rPr>
          <w:rFonts w:ascii="Times New Roman" w:eastAsia="Times New Roman" w:hAnsi="Times New Roman" w:cs="Times New Roman"/>
          <w:bCs/>
          <w:sz w:val="24"/>
          <w:szCs w:val="24"/>
          <w:lang w:val="en-GB" w:eastAsia="cs-CZ"/>
        </w:rPr>
        <w:t>(</w:t>
      </w:r>
      <w:r w:rsidRPr="00DD346F">
        <w:rPr>
          <w:rFonts w:ascii="Times New Roman" w:eastAsia="Times New Roman" w:hAnsi="Times New Roman" w:cs="Times New Roman"/>
          <w:bCs/>
          <w:sz w:val="24"/>
          <w:szCs w:val="24"/>
          <w:lang w:val="en-GB" w:eastAsia="cs-CZ"/>
        </w:rPr>
        <w:t>1999</w:t>
      </w:r>
      <w:r>
        <w:rPr>
          <w:rFonts w:ascii="Times New Roman" w:eastAsia="Times New Roman" w:hAnsi="Times New Roman" w:cs="Times New Roman"/>
          <w:bCs/>
          <w:sz w:val="24"/>
          <w:szCs w:val="24"/>
          <w:lang w:val="en-GB" w:eastAsia="cs-CZ"/>
        </w:rPr>
        <w:t>)</w:t>
      </w:r>
      <w:r w:rsidRPr="00DD346F">
        <w:rPr>
          <w:rFonts w:ascii="Times New Roman" w:eastAsia="Times New Roman" w:hAnsi="Times New Roman" w:cs="Times New Roman"/>
          <w:bCs/>
          <w:sz w:val="24"/>
          <w:szCs w:val="24"/>
          <w:lang w:val="en-GB" w:eastAsia="cs-CZ"/>
        </w:rPr>
        <w:t xml:space="preserve">: </w:t>
      </w:r>
      <w:proofErr w:type="spellStart"/>
      <w:r w:rsidRPr="00DD346F">
        <w:rPr>
          <w:rFonts w:ascii="Times New Roman" w:eastAsia="Times New Roman" w:hAnsi="Times New Roman" w:cs="Times New Roman"/>
          <w:bCs/>
          <w:sz w:val="24"/>
          <w:szCs w:val="24"/>
          <w:lang w:val="en-GB" w:eastAsia="cs-CZ"/>
        </w:rPr>
        <w:t>Humic</w:t>
      </w:r>
      <w:proofErr w:type="spellEnd"/>
      <w:r w:rsidRPr="00DD346F">
        <w:rPr>
          <w:rFonts w:ascii="Times New Roman" w:eastAsia="Times New Roman" w:hAnsi="Times New Roman" w:cs="Times New Roman"/>
          <w:bCs/>
          <w:sz w:val="24"/>
          <w:szCs w:val="24"/>
          <w:lang w:val="en-GB" w:eastAsia="cs-CZ"/>
        </w:rPr>
        <w:t xml:space="preserve"> acids as natural ligands, their acid-base properties and interactions with trace metals. 5th International Conference on the Biogeochemistry of Trace Elements, 11.-15. July, Vienna, Austria</w:t>
      </w:r>
      <w:proofErr w:type="gramStart"/>
      <w:r w:rsidRPr="00DD346F">
        <w:rPr>
          <w:rFonts w:ascii="Times New Roman" w:eastAsia="Times New Roman" w:hAnsi="Times New Roman" w:cs="Times New Roman"/>
          <w:bCs/>
          <w:sz w:val="24"/>
          <w:szCs w:val="24"/>
          <w:lang w:val="en-GB" w:eastAsia="cs-CZ"/>
        </w:rPr>
        <w:t>,  Proceedings</w:t>
      </w:r>
      <w:proofErr w:type="gramEnd"/>
      <w:r w:rsidRPr="00DD346F">
        <w:rPr>
          <w:rFonts w:ascii="Times New Roman" w:eastAsia="Times New Roman" w:hAnsi="Times New Roman" w:cs="Times New Roman"/>
          <w:bCs/>
          <w:sz w:val="24"/>
          <w:szCs w:val="24"/>
          <w:lang w:val="en-GB" w:eastAsia="cs-CZ"/>
        </w:rPr>
        <w:t xml:space="preserve"> of </w:t>
      </w:r>
      <w:r>
        <w:rPr>
          <w:rFonts w:ascii="Times New Roman" w:eastAsia="Times New Roman" w:hAnsi="Times New Roman" w:cs="Times New Roman"/>
          <w:bCs/>
          <w:sz w:val="24"/>
          <w:szCs w:val="24"/>
          <w:lang w:val="en-GB" w:eastAsia="cs-CZ"/>
        </w:rPr>
        <w:t>extended abstracts, p. 384-385.</w:t>
      </w:r>
    </w:p>
    <w:p w:rsidR="001F59C3" w:rsidRPr="00C73332" w:rsidRDefault="001F59C3" w:rsidP="001F59C3">
      <w:pPr>
        <w:spacing w:after="120"/>
        <w:rPr>
          <w:rFonts w:ascii="Times New Roman" w:eastAsia="Times New Roman" w:hAnsi="Times New Roman" w:cs="Times New Roman"/>
          <w:bCs/>
          <w:sz w:val="24"/>
          <w:szCs w:val="24"/>
          <w:lang w:val="en-GB" w:eastAsia="cs-CZ"/>
        </w:rPr>
      </w:pPr>
      <w:proofErr w:type="spellStart"/>
      <w:r w:rsidRPr="00C73332">
        <w:rPr>
          <w:rFonts w:ascii="Times New Roman" w:eastAsia="Times New Roman" w:hAnsi="Times New Roman" w:cs="Times New Roman"/>
          <w:bCs/>
          <w:sz w:val="24"/>
          <w:szCs w:val="24"/>
          <w:lang w:val="en-GB" w:eastAsia="cs-CZ"/>
        </w:rPr>
        <w:t>Donisa</w:t>
      </w:r>
      <w:proofErr w:type="spellEnd"/>
      <w:r w:rsidRPr="00C73332">
        <w:rPr>
          <w:rFonts w:ascii="Times New Roman" w:eastAsia="Times New Roman" w:hAnsi="Times New Roman" w:cs="Times New Roman"/>
          <w:bCs/>
          <w:sz w:val="24"/>
          <w:szCs w:val="24"/>
          <w:lang w:val="en-GB" w:eastAsia="cs-CZ"/>
        </w:rPr>
        <w:t xml:space="preserve"> C., </w:t>
      </w:r>
      <w:proofErr w:type="spellStart"/>
      <w:r w:rsidRPr="00C73332">
        <w:rPr>
          <w:rFonts w:ascii="Times New Roman" w:eastAsia="Times New Roman" w:hAnsi="Times New Roman" w:cs="Times New Roman"/>
          <w:bCs/>
          <w:sz w:val="24"/>
          <w:szCs w:val="24"/>
          <w:lang w:val="en-GB" w:eastAsia="cs-CZ"/>
        </w:rPr>
        <w:t>Steinnes</w:t>
      </w:r>
      <w:proofErr w:type="spellEnd"/>
      <w:r w:rsidRPr="00C73332">
        <w:rPr>
          <w:rFonts w:ascii="Times New Roman" w:eastAsia="Times New Roman" w:hAnsi="Times New Roman" w:cs="Times New Roman"/>
          <w:bCs/>
          <w:sz w:val="24"/>
          <w:szCs w:val="24"/>
          <w:lang w:val="en-GB" w:eastAsia="cs-CZ"/>
        </w:rPr>
        <w:t xml:space="preserve"> E., </w:t>
      </w:r>
      <w:proofErr w:type="spellStart"/>
      <w:r w:rsidRPr="00C73332">
        <w:rPr>
          <w:rFonts w:ascii="Times New Roman" w:eastAsia="Times New Roman" w:hAnsi="Times New Roman" w:cs="Times New Roman"/>
          <w:bCs/>
          <w:sz w:val="24"/>
          <w:szCs w:val="24"/>
          <w:lang w:val="en-GB" w:eastAsia="cs-CZ"/>
        </w:rPr>
        <w:t>Mocanu</w:t>
      </w:r>
      <w:proofErr w:type="spellEnd"/>
      <w:r w:rsidRPr="00C73332">
        <w:rPr>
          <w:rFonts w:ascii="Times New Roman" w:eastAsia="Times New Roman" w:hAnsi="Times New Roman" w:cs="Times New Roman"/>
          <w:bCs/>
          <w:sz w:val="24"/>
          <w:szCs w:val="24"/>
          <w:lang w:val="en-GB" w:eastAsia="cs-CZ"/>
        </w:rPr>
        <w:t xml:space="preserve"> R., </w:t>
      </w:r>
      <w:proofErr w:type="spellStart"/>
      <w:r w:rsidRPr="00C73332">
        <w:rPr>
          <w:rFonts w:ascii="Times New Roman" w:eastAsia="Times New Roman" w:hAnsi="Times New Roman" w:cs="Times New Roman"/>
          <w:bCs/>
          <w:sz w:val="24"/>
          <w:szCs w:val="24"/>
          <w:lang w:val="en-GB" w:eastAsia="cs-CZ"/>
        </w:rPr>
        <w:t>Rusu</w:t>
      </w:r>
      <w:proofErr w:type="spellEnd"/>
      <w:r w:rsidRPr="00C73332">
        <w:rPr>
          <w:rFonts w:ascii="Times New Roman" w:eastAsia="Times New Roman" w:hAnsi="Times New Roman" w:cs="Times New Roman"/>
          <w:bCs/>
          <w:sz w:val="24"/>
          <w:szCs w:val="24"/>
          <w:lang w:val="en-GB" w:eastAsia="cs-CZ"/>
        </w:rPr>
        <w:t xml:space="preserve"> C. </w:t>
      </w:r>
      <w:r>
        <w:rPr>
          <w:rFonts w:ascii="Times New Roman" w:eastAsia="Times New Roman" w:hAnsi="Times New Roman" w:cs="Times New Roman"/>
          <w:bCs/>
          <w:sz w:val="24"/>
          <w:szCs w:val="24"/>
          <w:lang w:val="en-GB" w:eastAsia="cs-CZ"/>
        </w:rPr>
        <w:t>(</w:t>
      </w:r>
      <w:r w:rsidRPr="00C73332">
        <w:rPr>
          <w:rFonts w:ascii="Times New Roman" w:eastAsia="Times New Roman" w:hAnsi="Times New Roman" w:cs="Times New Roman"/>
          <w:bCs/>
          <w:sz w:val="24"/>
          <w:szCs w:val="24"/>
          <w:lang w:val="en-GB" w:eastAsia="cs-CZ"/>
        </w:rPr>
        <w:t>1999</w:t>
      </w:r>
      <w:r>
        <w:rPr>
          <w:rFonts w:ascii="Times New Roman" w:eastAsia="Times New Roman" w:hAnsi="Times New Roman" w:cs="Times New Roman"/>
          <w:bCs/>
          <w:sz w:val="24"/>
          <w:szCs w:val="24"/>
          <w:lang w:val="en-GB" w:eastAsia="cs-CZ"/>
        </w:rPr>
        <w:t>)</w:t>
      </w:r>
      <w:r w:rsidRPr="00C73332">
        <w:rPr>
          <w:rFonts w:ascii="Times New Roman" w:eastAsia="Times New Roman" w:hAnsi="Times New Roman" w:cs="Times New Roman"/>
          <w:bCs/>
          <w:sz w:val="24"/>
          <w:szCs w:val="24"/>
          <w:lang w:val="en-GB" w:eastAsia="cs-CZ"/>
        </w:rPr>
        <w:t xml:space="preserve">: </w:t>
      </w:r>
      <w:proofErr w:type="spellStart"/>
      <w:r w:rsidRPr="00C73332">
        <w:rPr>
          <w:rFonts w:ascii="Times New Roman" w:eastAsia="Times New Roman" w:hAnsi="Times New Roman" w:cs="Times New Roman"/>
          <w:bCs/>
          <w:sz w:val="24"/>
          <w:szCs w:val="24"/>
          <w:lang w:val="en-GB" w:eastAsia="cs-CZ"/>
        </w:rPr>
        <w:t>Organo</w:t>
      </w:r>
      <w:proofErr w:type="spellEnd"/>
      <w:r w:rsidRPr="00C73332">
        <w:rPr>
          <w:rFonts w:ascii="Times New Roman" w:eastAsia="Times New Roman" w:hAnsi="Times New Roman" w:cs="Times New Roman"/>
          <w:bCs/>
          <w:sz w:val="24"/>
          <w:szCs w:val="24"/>
          <w:lang w:val="en-GB" w:eastAsia="cs-CZ"/>
        </w:rPr>
        <w:t xml:space="preserve">-metallic complexes with major and minor elements in some andic soils from the </w:t>
      </w:r>
      <w:proofErr w:type="spellStart"/>
      <w:r w:rsidRPr="00C73332">
        <w:rPr>
          <w:rFonts w:ascii="Times New Roman" w:eastAsia="Times New Roman" w:hAnsi="Times New Roman" w:cs="Times New Roman"/>
          <w:bCs/>
          <w:sz w:val="24"/>
          <w:szCs w:val="24"/>
          <w:lang w:val="en-GB" w:eastAsia="cs-CZ"/>
        </w:rPr>
        <w:t>nord</w:t>
      </w:r>
      <w:proofErr w:type="spellEnd"/>
      <w:r w:rsidRPr="00C73332">
        <w:rPr>
          <w:rFonts w:ascii="Times New Roman" w:eastAsia="Times New Roman" w:hAnsi="Times New Roman" w:cs="Times New Roman"/>
          <w:bCs/>
          <w:sz w:val="24"/>
          <w:szCs w:val="24"/>
          <w:lang w:val="en-GB" w:eastAsia="cs-CZ"/>
        </w:rPr>
        <w:t>-western Carpathians (Romania). 5th International Conference on the Biogeochemistry of Trace Elements, 11.-15. July, Vienna, Austria</w:t>
      </w:r>
      <w:proofErr w:type="gramStart"/>
      <w:r w:rsidRPr="00C73332">
        <w:rPr>
          <w:rFonts w:ascii="Times New Roman" w:eastAsia="Times New Roman" w:hAnsi="Times New Roman" w:cs="Times New Roman"/>
          <w:bCs/>
          <w:sz w:val="24"/>
          <w:szCs w:val="24"/>
          <w:lang w:val="en-GB" w:eastAsia="cs-CZ"/>
        </w:rPr>
        <w:t>,  Proceedings</w:t>
      </w:r>
      <w:proofErr w:type="gramEnd"/>
      <w:r w:rsidRPr="00C73332">
        <w:rPr>
          <w:rFonts w:ascii="Times New Roman" w:eastAsia="Times New Roman" w:hAnsi="Times New Roman" w:cs="Times New Roman"/>
          <w:bCs/>
          <w:sz w:val="24"/>
          <w:szCs w:val="24"/>
          <w:lang w:val="en-GB" w:eastAsia="cs-CZ"/>
        </w:rPr>
        <w:t xml:space="preserve"> of extended abstracts, 386-387. </w:t>
      </w:r>
    </w:p>
    <w:p w:rsidR="001F59C3" w:rsidRPr="00B94F7E" w:rsidRDefault="001F59C3" w:rsidP="001F59C3">
      <w:pPr>
        <w:spacing w:after="120"/>
        <w:rPr>
          <w:rFonts w:ascii="Times New Roman" w:eastAsia="Times New Roman" w:hAnsi="Times New Roman" w:cs="Times New Roman"/>
          <w:bCs/>
          <w:sz w:val="24"/>
          <w:szCs w:val="24"/>
          <w:lang w:val="en-GB" w:eastAsia="cs-CZ"/>
        </w:rPr>
      </w:pPr>
      <w:proofErr w:type="spellStart"/>
      <w:r w:rsidRPr="00665FC3">
        <w:rPr>
          <w:rFonts w:ascii="Times New Roman" w:eastAsia="Times New Roman" w:hAnsi="Times New Roman" w:cs="Times New Roman"/>
          <w:bCs/>
          <w:sz w:val="24"/>
          <w:szCs w:val="24"/>
          <w:lang w:val="en-GB" w:eastAsia="cs-CZ"/>
        </w:rPr>
        <w:t>Dufey</w:t>
      </w:r>
      <w:proofErr w:type="spellEnd"/>
      <w:r w:rsidRPr="00665FC3">
        <w:rPr>
          <w:rFonts w:ascii="Times New Roman" w:eastAsia="Times New Roman" w:hAnsi="Times New Roman" w:cs="Times New Roman"/>
          <w:bCs/>
          <w:sz w:val="24"/>
          <w:szCs w:val="24"/>
          <w:lang w:val="en-GB" w:eastAsia="cs-CZ"/>
        </w:rPr>
        <w:t xml:space="preserve"> J. E., </w:t>
      </w:r>
      <w:proofErr w:type="spellStart"/>
      <w:r w:rsidRPr="00665FC3">
        <w:rPr>
          <w:rFonts w:ascii="Times New Roman" w:eastAsia="Times New Roman" w:hAnsi="Times New Roman" w:cs="Times New Roman"/>
          <w:bCs/>
          <w:sz w:val="24"/>
          <w:szCs w:val="24"/>
          <w:lang w:val="en-GB" w:eastAsia="cs-CZ"/>
        </w:rPr>
        <w:t>Genon</w:t>
      </w:r>
      <w:proofErr w:type="spellEnd"/>
      <w:r w:rsidRPr="00665FC3">
        <w:rPr>
          <w:rFonts w:ascii="Times New Roman" w:eastAsia="Times New Roman" w:hAnsi="Times New Roman" w:cs="Times New Roman"/>
          <w:bCs/>
          <w:sz w:val="24"/>
          <w:szCs w:val="24"/>
          <w:lang w:val="en-GB" w:eastAsia="cs-CZ"/>
        </w:rPr>
        <w:t xml:space="preserve"> J. G., </w:t>
      </w:r>
      <w:proofErr w:type="spellStart"/>
      <w:r w:rsidRPr="00665FC3">
        <w:rPr>
          <w:rFonts w:ascii="Times New Roman" w:eastAsia="Times New Roman" w:hAnsi="Times New Roman" w:cs="Times New Roman"/>
          <w:bCs/>
          <w:sz w:val="24"/>
          <w:szCs w:val="24"/>
          <w:lang w:val="en-GB" w:eastAsia="cs-CZ"/>
        </w:rPr>
        <w:t>Rufyikiri</w:t>
      </w:r>
      <w:proofErr w:type="spellEnd"/>
      <w:r w:rsidRPr="00665FC3">
        <w:rPr>
          <w:rFonts w:ascii="Times New Roman" w:eastAsia="Times New Roman" w:hAnsi="Times New Roman" w:cs="Times New Roman"/>
          <w:bCs/>
          <w:sz w:val="24"/>
          <w:szCs w:val="24"/>
          <w:lang w:val="en-GB" w:eastAsia="cs-CZ"/>
        </w:rPr>
        <w:t xml:space="preserve"> G., </w:t>
      </w:r>
      <w:proofErr w:type="spellStart"/>
      <w:r w:rsidRPr="00665FC3">
        <w:rPr>
          <w:rFonts w:ascii="Times New Roman" w:eastAsia="Times New Roman" w:hAnsi="Times New Roman" w:cs="Times New Roman"/>
          <w:bCs/>
          <w:sz w:val="24"/>
          <w:szCs w:val="24"/>
          <w:lang w:val="en-GB" w:eastAsia="cs-CZ"/>
        </w:rPr>
        <w:t>Delvaux</w:t>
      </w:r>
      <w:proofErr w:type="spellEnd"/>
      <w:r w:rsidRPr="00665FC3">
        <w:rPr>
          <w:rFonts w:ascii="Times New Roman" w:eastAsia="Times New Roman" w:hAnsi="Times New Roman" w:cs="Times New Roman"/>
          <w:bCs/>
          <w:sz w:val="24"/>
          <w:szCs w:val="24"/>
          <w:lang w:val="en-GB" w:eastAsia="cs-CZ"/>
        </w:rPr>
        <w:t xml:space="preserve"> B. </w:t>
      </w:r>
      <w:r>
        <w:rPr>
          <w:rFonts w:ascii="Times New Roman" w:eastAsia="Times New Roman" w:hAnsi="Times New Roman" w:cs="Times New Roman"/>
          <w:bCs/>
          <w:sz w:val="24"/>
          <w:szCs w:val="24"/>
          <w:lang w:val="en-GB" w:eastAsia="cs-CZ"/>
        </w:rPr>
        <w:t>(</w:t>
      </w:r>
      <w:r w:rsidRPr="00665FC3">
        <w:rPr>
          <w:rFonts w:ascii="Times New Roman" w:eastAsia="Times New Roman" w:hAnsi="Times New Roman" w:cs="Times New Roman"/>
          <w:bCs/>
          <w:sz w:val="24"/>
          <w:szCs w:val="24"/>
          <w:lang w:val="en-GB" w:eastAsia="cs-CZ"/>
        </w:rPr>
        <w:t>1999</w:t>
      </w:r>
      <w:r>
        <w:rPr>
          <w:rFonts w:ascii="Times New Roman" w:eastAsia="Times New Roman" w:hAnsi="Times New Roman" w:cs="Times New Roman"/>
          <w:bCs/>
          <w:sz w:val="24"/>
          <w:szCs w:val="24"/>
          <w:lang w:val="en-GB" w:eastAsia="cs-CZ"/>
        </w:rPr>
        <w:t>)</w:t>
      </w:r>
      <w:r w:rsidRPr="00665FC3">
        <w:rPr>
          <w:rFonts w:ascii="Times New Roman" w:eastAsia="Times New Roman" w:hAnsi="Times New Roman" w:cs="Times New Roman"/>
          <w:bCs/>
          <w:sz w:val="24"/>
          <w:szCs w:val="24"/>
          <w:lang w:val="en-GB" w:eastAsia="cs-CZ"/>
        </w:rPr>
        <w:t xml:space="preserve">: Cation exchange properties of </w:t>
      </w:r>
      <w:proofErr w:type="spellStart"/>
      <w:r w:rsidRPr="00665FC3">
        <w:rPr>
          <w:rFonts w:ascii="Times New Roman" w:eastAsia="Times New Roman" w:hAnsi="Times New Roman" w:cs="Times New Roman"/>
          <w:bCs/>
          <w:sz w:val="24"/>
          <w:szCs w:val="24"/>
          <w:lang w:val="en-GB" w:eastAsia="cs-CZ"/>
        </w:rPr>
        <w:t>rooots</w:t>
      </w:r>
      <w:proofErr w:type="spellEnd"/>
      <w:r w:rsidRPr="00665FC3">
        <w:rPr>
          <w:rFonts w:ascii="Times New Roman" w:eastAsia="Times New Roman" w:hAnsi="Times New Roman" w:cs="Times New Roman"/>
          <w:bCs/>
          <w:sz w:val="24"/>
          <w:szCs w:val="24"/>
          <w:lang w:val="en-GB" w:eastAsia="cs-CZ"/>
        </w:rPr>
        <w:t>: Experimental and modelling. 5th International Conference on the Biogeochemistry of Trace Elements, 11.-15. July, Vienna, Austria</w:t>
      </w:r>
      <w:proofErr w:type="gramStart"/>
      <w:r w:rsidRPr="00665FC3">
        <w:rPr>
          <w:rFonts w:ascii="Times New Roman" w:eastAsia="Times New Roman" w:hAnsi="Times New Roman" w:cs="Times New Roman"/>
          <w:bCs/>
          <w:sz w:val="24"/>
          <w:szCs w:val="24"/>
          <w:lang w:val="en-GB" w:eastAsia="cs-CZ"/>
        </w:rPr>
        <w:t>,  Proceedings</w:t>
      </w:r>
      <w:proofErr w:type="gramEnd"/>
      <w:r w:rsidRPr="00665FC3">
        <w:rPr>
          <w:rFonts w:ascii="Times New Roman" w:eastAsia="Times New Roman" w:hAnsi="Times New Roman" w:cs="Times New Roman"/>
          <w:bCs/>
          <w:sz w:val="24"/>
          <w:szCs w:val="24"/>
          <w:lang w:val="en-GB" w:eastAsia="cs-CZ"/>
        </w:rPr>
        <w:t xml:space="preserve"> of extended abstracts, </w:t>
      </w:r>
      <w:r>
        <w:rPr>
          <w:rFonts w:ascii="Times New Roman" w:eastAsia="Times New Roman" w:hAnsi="Times New Roman" w:cs="Times New Roman"/>
          <w:bCs/>
          <w:sz w:val="24"/>
          <w:szCs w:val="24"/>
          <w:lang w:val="en-GB" w:eastAsia="cs-CZ"/>
        </w:rPr>
        <w:t>164-165</w:t>
      </w:r>
    </w:p>
    <w:p w:rsidR="001F59C3" w:rsidRDefault="001F59C3" w:rsidP="001F59C3">
      <w:pPr>
        <w:spacing w:after="120"/>
        <w:rPr>
          <w:rFonts w:ascii="Times New Roman" w:eastAsia="Times New Roman" w:hAnsi="Times New Roman" w:cs="Times New Roman"/>
          <w:bCs/>
          <w:sz w:val="24"/>
          <w:szCs w:val="24"/>
          <w:lang w:val="en-GB" w:eastAsia="cs-CZ"/>
        </w:rPr>
      </w:pPr>
      <w:proofErr w:type="spellStart"/>
      <w:r w:rsidRPr="0017145E">
        <w:rPr>
          <w:rFonts w:ascii="Times New Roman" w:eastAsia="Times New Roman" w:hAnsi="Times New Roman" w:cs="Times New Roman"/>
          <w:bCs/>
          <w:sz w:val="24"/>
          <w:szCs w:val="24"/>
          <w:lang w:val="en-GB" w:eastAsia="cs-CZ"/>
        </w:rPr>
        <w:t>Dušek</w:t>
      </w:r>
      <w:proofErr w:type="spellEnd"/>
      <w:r w:rsidRPr="0017145E">
        <w:rPr>
          <w:rFonts w:ascii="Times New Roman" w:eastAsia="Times New Roman" w:hAnsi="Times New Roman" w:cs="Times New Roman"/>
          <w:bCs/>
          <w:sz w:val="24"/>
          <w:szCs w:val="24"/>
          <w:lang w:val="en-GB" w:eastAsia="cs-CZ"/>
        </w:rPr>
        <w:t xml:space="preserve"> L. </w:t>
      </w:r>
      <w:r>
        <w:rPr>
          <w:rFonts w:ascii="Times New Roman" w:eastAsia="Times New Roman" w:hAnsi="Times New Roman" w:cs="Times New Roman"/>
          <w:bCs/>
          <w:sz w:val="24"/>
          <w:szCs w:val="24"/>
          <w:lang w:val="en-GB" w:eastAsia="cs-CZ"/>
        </w:rPr>
        <w:t>(</w:t>
      </w:r>
      <w:r w:rsidRPr="0017145E">
        <w:rPr>
          <w:rFonts w:ascii="Times New Roman" w:eastAsia="Times New Roman" w:hAnsi="Times New Roman" w:cs="Times New Roman"/>
          <w:bCs/>
          <w:sz w:val="24"/>
          <w:szCs w:val="24"/>
          <w:lang w:val="en-GB" w:eastAsia="cs-CZ"/>
        </w:rPr>
        <w:t>1995</w:t>
      </w:r>
      <w:r>
        <w:rPr>
          <w:rFonts w:ascii="Times New Roman" w:eastAsia="Times New Roman" w:hAnsi="Times New Roman" w:cs="Times New Roman"/>
          <w:bCs/>
          <w:sz w:val="24"/>
          <w:szCs w:val="24"/>
          <w:lang w:val="en-GB" w:eastAsia="cs-CZ"/>
        </w:rPr>
        <w:t>)</w:t>
      </w:r>
      <w:r w:rsidRPr="0017145E">
        <w:rPr>
          <w:rFonts w:ascii="Times New Roman" w:eastAsia="Times New Roman" w:hAnsi="Times New Roman" w:cs="Times New Roman"/>
          <w:bCs/>
          <w:sz w:val="24"/>
          <w:szCs w:val="24"/>
          <w:lang w:val="en-GB" w:eastAsia="cs-CZ"/>
        </w:rPr>
        <w:t>: The effect of cadmium on the activity of nitrifying populations in two different grassland soils. Plant and Soil, 1995, 177</w:t>
      </w:r>
      <w:r>
        <w:rPr>
          <w:rFonts w:ascii="Times New Roman" w:eastAsia="Times New Roman" w:hAnsi="Times New Roman" w:cs="Times New Roman"/>
          <w:bCs/>
          <w:sz w:val="24"/>
          <w:szCs w:val="24"/>
          <w:lang w:val="en-GB" w:eastAsia="cs-CZ"/>
        </w:rPr>
        <w:t>: 43-53.</w:t>
      </w:r>
    </w:p>
    <w:p w:rsidR="001F59C3" w:rsidRPr="006B2284" w:rsidRDefault="001F59C3" w:rsidP="001F59C3">
      <w:pPr>
        <w:tabs>
          <w:tab w:val="left" w:pos="709"/>
        </w:tabs>
        <w:spacing w:after="120"/>
        <w:rPr>
          <w:rFonts w:ascii="Times New Roman" w:eastAsia="Times New Roman" w:hAnsi="Times New Roman" w:cs="Times New Roman"/>
          <w:bCs/>
          <w:sz w:val="24"/>
          <w:szCs w:val="24"/>
          <w:lang w:val="en-GB" w:eastAsia="cs-CZ"/>
        </w:rPr>
      </w:pPr>
      <w:proofErr w:type="spellStart"/>
      <w:r w:rsidRPr="006B2284">
        <w:rPr>
          <w:rFonts w:ascii="Times New Roman" w:eastAsia="Times New Roman" w:hAnsi="Times New Roman" w:cs="Times New Roman"/>
          <w:bCs/>
          <w:sz w:val="24"/>
          <w:szCs w:val="24"/>
          <w:lang w:val="en-GB" w:eastAsia="cs-CZ"/>
        </w:rPr>
        <w:t>Facchinelli</w:t>
      </w:r>
      <w:proofErr w:type="spellEnd"/>
      <w:r w:rsidRPr="006B2284">
        <w:rPr>
          <w:rFonts w:ascii="Times New Roman" w:eastAsia="Times New Roman" w:hAnsi="Times New Roman" w:cs="Times New Roman"/>
          <w:bCs/>
          <w:sz w:val="24"/>
          <w:szCs w:val="24"/>
          <w:lang w:val="en-GB" w:eastAsia="cs-CZ"/>
        </w:rPr>
        <w:t xml:space="preserve"> A., </w:t>
      </w:r>
      <w:proofErr w:type="spellStart"/>
      <w:r w:rsidRPr="006B2284">
        <w:rPr>
          <w:rFonts w:ascii="Times New Roman" w:eastAsia="Times New Roman" w:hAnsi="Times New Roman" w:cs="Times New Roman"/>
          <w:bCs/>
          <w:sz w:val="24"/>
          <w:szCs w:val="24"/>
          <w:lang w:val="en-GB" w:eastAsia="cs-CZ"/>
        </w:rPr>
        <w:t>Gallini</w:t>
      </w:r>
      <w:proofErr w:type="spellEnd"/>
      <w:r w:rsidRPr="006B2284">
        <w:rPr>
          <w:rFonts w:ascii="Times New Roman" w:eastAsia="Times New Roman" w:hAnsi="Times New Roman" w:cs="Times New Roman"/>
          <w:bCs/>
          <w:sz w:val="24"/>
          <w:szCs w:val="24"/>
          <w:lang w:val="en-GB" w:eastAsia="cs-CZ"/>
        </w:rPr>
        <w:t xml:space="preserve"> L., </w:t>
      </w:r>
      <w:proofErr w:type="spellStart"/>
      <w:r w:rsidRPr="006B2284">
        <w:rPr>
          <w:rFonts w:ascii="Times New Roman" w:eastAsia="Times New Roman" w:hAnsi="Times New Roman" w:cs="Times New Roman"/>
          <w:bCs/>
          <w:sz w:val="24"/>
          <w:szCs w:val="24"/>
          <w:lang w:val="en-GB" w:eastAsia="cs-CZ"/>
        </w:rPr>
        <w:t>Ajmone</w:t>
      </w:r>
      <w:proofErr w:type="spellEnd"/>
      <w:r w:rsidRPr="006B2284">
        <w:rPr>
          <w:rFonts w:ascii="Times New Roman" w:eastAsia="Times New Roman" w:hAnsi="Times New Roman" w:cs="Times New Roman"/>
          <w:bCs/>
          <w:sz w:val="24"/>
          <w:szCs w:val="24"/>
          <w:lang w:val="en-GB" w:eastAsia="cs-CZ"/>
        </w:rPr>
        <w:t xml:space="preserve"> Marsan F., </w:t>
      </w:r>
      <w:proofErr w:type="spellStart"/>
      <w:r w:rsidRPr="006B2284">
        <w:rPr>
          <w:rFonts w:ascii="Times New Roman" w:eastAsia="Times New Roman" w:hAnsi="Times New Roman" w:cs="Times New Roman"/>
          <w:bCs/>
          <w:sz w:val="24"/>
          <w:szCs w:val="24"/>
          <w:lang w:val="en-GB" w:eastAsia="cs-CZ"/>
        </w:rPr>
        <w:t>Hursthouse</w:t>
      </w:r>
      <w:proofErr w:type="spellEnd"/>
      <w:r w:rsidRPr="006B2284">
        <w:rPr>
          <w:rFonts w:ascii="Times New Roman" w:eastAsia="Times New Roman" w:hAnsi="Times New Roman" w:cs="Times New Roman"/>
          <w:bCs/>
          <w:sz w:val="24"/>
          <w:szCs w:val="24"/>
          <w:lang w:val="en-GB" w:eastAsia="cs-CZ"/>
        </w:rPr>
        <w:t xml:space="preserve"> A. </w:t>
      </w:r>
      <w:r>
        <w:rPr>
          <w:rFonts w:ascii="Times New Roman" w:eastAsia="Times New Roman" w:hAnsi="Times New Roman" w:cs="Times New Roman"/>
          <w:bCs/>
          <w:sz w:val="24"/>
          <w:szCs w:val="24"/>
          <w:lang w:val="en-GB" w:eastAsia="cs-CZ"/>
        </w:rPr>
        <w:t>(</w:t>
      </w:r>
      <w:r w:rsidRPr="006B2284">
        <w:rPr>
          <w:rFonts w:ascii="Times New Roman" w:eastAsia="Times New Roman" w:hAnsi="Times New Roman" w:cs="Times New Roman"/>
          <w:bCs/>
          <w:sz w:val="24"/>
          <w:szCs w:val="24"/>
          <w:lang w:val="en-GB" w:eastAsia="cs-CZ"/>
        </w:rPr>
        <w:t>1999</w:t>
      </w:r>
      <w:r>
        <w:rPr>
          <w:rFonts w:ascii="Times New Roman" w:eastAsia="Times New Roman" w:hAnsi="Times New Roman" w:cs="Times New Roman"/>
          <w:bCs/>
          <w:sz w:val="24"/>
          <w:szCs w:val="24"/>
          <w:lang w:val="en-GB" w:eastAsia="cs-CZ"/>
        </w:rPr>
        <w:t>)</w:t>
      </w:r>
      <w:r w:rsidRPr="006B2284">
        <w:rPr>
          <w:rFonts w:ascii="Times New Roman" w:eastAsia="Times New Roman" w:hAnsi="Times New Roman" w:cs="Times New Roman"/>
          <w:bCs/>
          <w:sz w:val="24"/>
          <w:szCs w:val="24"/>
          <w:lang w:val="en-GB" w:eastAsia="cs-CZ"/>
        </w:rPr>
        <w:t>: Downward migration in soils of heavy metals and its control by soil properties. 5th International Conference on the Biogeochemistry of Trace Elements, 11.-15. July, Vienna, Austria</w:t>
      </w:r>
      <w:proofErr w:type="gramStart"/>
      <w:r w:rsidRPr="006B2284">
        <w:rPr>
          <w:rFonts w:ascii="Times New Roman" w:eastAsia="Times New Roman" w:hAnsi="Times New Roman" w:cs="Times New Roman"/>
          <w:bCs/>
          <w:sz w:val="24"/>
          <w:szCs w:val="24"/>
          <w:lang w:val="en-GB" w:eastAsia="cs-CZ"/>
        </w:rPr>
        <w:t>,  Proceedings</w:t>
      </w:r>
      <w:proofErr w:type="gramEnd"/>
      <w:r w:rsidRPr="006B2284">
        <w:rPr>
          <w:rFonts w:ascii="Times New Roman" w:eastAsia="Times New Roman" w:hAnsi="Times New Roman" w:cs="Times New Roman"/>
          <w:bCs/>
          <w:sz w:val="24"/>
          <w:szCs w:val="24"/>
          <w:lang w:val="en-GB" w:eastAsia="cs-CZ"/>
        </w:rPr>
        <w:t xml:space="preserve"> of extended abstracts, p. 782-783.</w:t>
      </w:r>
    </w:p>
    <w:p w:rsidR="001F59C3" w:rsidRPr="00B94F7E" w:rsidRDefault="001F59C3" w:rsidP="001F59C3">
      <w:pPr>
        <w:tabs>
          <w:tab w:val="left" w:pos="709"/>
        </w:tabs>
        <w:spacing w:after="120"/>
        <w:rPr>
          <w:rFonts w:ascii="Times New Roman" w:eastAsia="Times New Roman" w:hAnsi="Times New Roman" w:cs="Times New Roman"/>
          <w:bCs/>
          <w:sz w:val="24"/>
          <w:szCs w:val="24"/>
          <w:lang w:val="en-GB" w:eastAsia="cs-CZ"/>
        </w:rPr>
      </w:pPr>
      <w:r w:rsidRPr="0017145E">
        <w:rPr>
          <w:rFonts w:ascii="Times New Roman" w:eastAsia="Times New Roman" w:hAnsi="Times New Roman" w:cs="Times New Roman"/>
          <w:bCs/>
          <w:sz w:val="24"/>
          <w:szCs w:val="24"/>
          <w:lang w:val="en-GB" w:eastAsia="cs-CZ"/>
        </w:rPr>
        <w:t xml:space="preserve">Filip Z. et al. </w:t>
      </w:r>
      <w:r>
        <w:rPr>
          <w:rFonts w:ascii="Times New Roman" w:eastAsia="Times New Roman" w:hAnsi="Times New Roman" w:cs="Times New Roman"/>
          <w:bCs/>
          <w:sz w:val="24"/>
          <w:szCs w:val="24"/>
          <w:lang w:val="en-GB" w:eastAsia="cs-CZ"/>
        </w:rPr>
        <w:t>(</w:t>
      </w:r>
      <w:r w:rsidRPr="0017145E">
        <w:rPr>
          <w:rFonts w:ascii="Times New Roman" w:eastAsia="Times New Roman" w:hAnsi="Times New Roman" w:cs="Times New Roman"/>
          <w:bCs/>
          <w:sz w:val="24"/>
          <w:szCs w:val="24"/>
          <w:lang w:val="en-GB" w:eastAsia="cs-CZ"/>
        </w:rPr>
        <w:t>1994</w:t>
      </w:r>
      <w:r>
        <w:rPr>
          <w:rFonts w:ascii="Times New Roman" w:eastAsia="Times New Roman" w:hAnsi="Times New Roman" w:cs="Times New Roman"/>
          <w:bCs/>
          <w:sz w:val="24"/>
          <w:szCs w:val="24"/>
          <w:lang w:val="en-GB" w:eastAsia="cs-CZ"/>
        </w:rPr>
        <w:t>)</w:t>
      </w:r>
      <w:r w:rsidRPr="0017145E">
        <w:rPr>
          <w:rFonts w:ascii="Times New Roman" w:eastAsia="Times New Roman" w:hAnsi="Times New Roman" w:cs="Times New Roman"/>
          <w:bCs/>
          <w:sz w:val="24"/>
          <w:szCs w:val="24"/>
          <w:lang w:val="en-GB" w:eastAsia="cs-CZ"/>
        </w:rPr>
        <w:t xml:space="preserve">: Methods of soil analysis for research project Development and evaluation of biological </w:t>
      </w:r>
      <w:proofErr w:type="spellStart"/>
      <w:r w:rsidRPr="0017145E">
        <w:rPr>
          <w:rFonts w:ascii="Times New Roman" w:eastAsia="Times New Roman" w:hAnsi="Times New Roman" w:cs="Times New Roman"/>
          <w:bCs/>
          <w:sz w:val="24"/>
          <w:szCs w:val="24"/>
          <w:lang w:val="en-GB" w:eastAsia="cs-CZ"/>
        </w:rPr>
        <w:t>mathods</w:t>
      </w:r>
      <w:proofErr w:type="spellEnd"/>
      <w:r w:rsidRPr="0017145E">
        <w:rPr>
          <w:rFonts w:ascii="Times New Roman" w:eastAsia="Times New Roman" w:hAnsi="Times New Roman" w:cs="Times New Roman"/>
          <w:bCs/>
          <w:sz w:val="24"/>
          <w:szCs w:val="24"/>
          <w:lang w:val="en-GB" w:eastAsia="cs-CZ"/>
        </w:rPr>
        <w:t xml:space="preserve"> for the </w:t>
      </w:r>
      <w:proofErr w:type="spellStart"/>
      <w:r w:rsidRPr="0017145E">
        <w:rPr>
          <w:rFonts w:ascii="Times New Roman" w:eastAsia="Times New Roman" w:hAnsi="Times New Roman" w:cs="Times New Roman"/>
          <w:bCs/>
          <w:sz w:val="24"/>
          <w:szCs w:val="24"/>
          <w:lang w:val="en-GB" w:eastAsia="cs-CZ"/>
        </w:rPr>
        <w:t>charakterization</w:t>
      </w:r>
      <w:proofErr w:type="spellEnd"/>
      <w:r w:rsidRPr="0017145E">
        <w:rPr>
          <w:rFonts w:ascii="Times New Roman" w:eastAsia="Times New Roman" w:hAnsi="Times New Roman" w:cs="Times New Roman"/>
          <w:bCs/>
          <w:sz w:val="24"/>
          <w:szCs w:val="24"/>
          <w:lang w:val="en-GB" w:eastAsia="cs-CZ"/>
        </w:rPr>
        <w:t xml:space="preserve"> of undisturbed or anthropogenic polluted soils. </w:t>
      </w:r>
      <w:proofErr w:type="spellStart"/>
      <w:r w:rsidRPr="0017145E">
        <w:rPr>
          <w:rFonts w:ascii="Times New Roman" w:eastAsia="Times New Roman" w:hAnsi="Times New Roman" w:cs="Times New Roman"/>
          <w:bCs/>
          <w:sz w:val="24"/>
          <w:szCs w:val="24"/>
          <w:lang w:val="en-GB" w:eastAsia="cs-CZ"/>
        </w:rPr>
        <w:t>Langen</w:t>
      </w:r>
      <w:proofErr w:type="spellEnd"/>
      <w:r w:rsidRPr="0017145E">
        <w:rPr>
          <w:rFonts w:ascii="Times New Roman" w:eastAsia="Times New Roman" w:hAnsi="Times New Roman" w:cs="Times New Roman"/>
          <w:bCs/>
          <w:sz w:val="24"/>
          <w:szCs w:val="24"/>
          <w:lang w:val="en-GB" w:eastAsia="cs-CZ"/>
        </w:rPr>
        <w:t xml:space="preserve"> 1994. 48 </w:t>
      </w:r>
      <w:r>
        <w:rPr>
          <w:rFonts w:ascii="Times New Roman" w:eastAsia="Times New Roman" w:hAnsi="Times New Roman" w:cs="Times New Roman"/>
          <w:bCs/>
          <w:sz w:val="24"/>
          <w:szCs w:val="24"/>
          <w:lang w:val="en-GB" w:eastAsia="cs-CZ"/>
        </w:rPr>
        <w:t>p.</w:t>
      </w:r>
    </w:p>
    <w:p w:rsidR="001F59C3" w:rsidRPr="003F04C6" w:rsidRDefault="001F59C3" w:rsidP="001F59C3">
      <w:pPr>
        <w:spacing w:after="120"/>
        <w:rPr>
          <w:rFonts w:ascii="Times New Roman" w:eastAsia="Times New Roman" w:hAnsi="Times New Roman" w:cs="Times New Roman"/>
          <w:bCs/>
          <w:sz w:val="24"/>
          <w:szCs w:val="24"/>
          <w:lang w:val="en-GB" w:eastAsia="cs-CZ"/>
        </w:rPr>
      </w:pPr>
      <w:proofErr w:type="spellStart"/>
      <w:r w:rsidRPr="003F04C6">
        <w:rPr>
          <w:rFonts w:ascii="Times New Roman" w:eastAsia="Times New Roman" w:hAnsi="Times New Roman" w:cs="Times New Roman"/>
          <w:bCs/>
          <w:sz w:val="24"/>
          <w:szCs w:val="24"/>
          <w:lang w:val="en-GB" w:eastAsia="cs-CZ"/>
        </w:rPr>
        <w:t>Gavi</w:t>
      </w:r>
      <w:proofErr w:type="spellEnd"/>
      <w:r w:rsidRPr="003F04C6">
        <w:rPr>
          <w:rFonts w:ascii="Times New Roman" w:eastAsia="Times New Roman" w:hAnsi="Times New Roman" w:cs="Times New Roman"/>
          <w:bCs/>
          <w:sz w:val="24"/>
          <w:szCs w:val="24"/>
          <w:lang w:val="en-GB" w:eastAsia="cs-CZ"/>
        </w:rPr>
        <w:t xml:space="preserve"> F., </w:t>
      </w:r>
      <w:proofErr w:type="spellStart"/>
      <w:r w:rsidRPr="003F04C6">
        <w:rPr>
          <w:rFonts w:ascii="Times New Roman" w:eastAsia="Times New Roman" w:hAnsi="Times New Roman" w:cs="Times New Roman"/>
          <w:bCs/>
          <w:sz w:val="24"/>
          <w:szCs w:val="24"/>
          <w:lang w:val="en-GB" w:eastAsia="cs-CZ"/>
        </w:rPr>
        <w:t>Basta</w:t>
      </w:r>
      <w:proofErr w:type="spellEnd"/>
      <w:r w:rsidRPr="003F04C6">
        <w:rPr>
          <w:rFonts w:ascii="Times New Roman" w:eastAsia="Times New Roman" w:hAnsi="Times New Roman" w:cs="Times New Roman"/>
          <w:bCs/>
          <w:sz w:val="24"/>
          <w:szCs w:val="24"/>
          <w:lang w:val="en-GB" w:eastAsia="cs-CZ"/>
        </w:rPr>
        <w:t xml:space="preserve"> N. T., </w:t>
      </w:r>
      <w:proofErr w:type="spellStart"/>
      <w:r w:rsidRPr="003F04C6">
        <w:rPr>
          <w:rFonts w:ascii="Times New Roman" w:eastAsia="Times New Roman" w:hAnsi="Times New Roman" w:cs="Times New Roman"/>
          <w:bCs/>
          <w:sz w:val="24"/>
          <w:szCs w:val="24"/>
          <w:lang w:val="en-GB" w:eastAsia="cs-CZ"/>
        </w:rPr>
        <w:t>Raun</w:t>
      </w:r>
      <w:proofErr w:type="spellEnd"/>
      <w:r w:rsidRPr="003F04C6">
        <w:rPr>
          <w:rFonts w:ascii="Times New Roman" w:eastAsia="Times New Roman" w:hAnsi="Times New Roman" w:cs="Times New Roman"/>
          <w:bCs/>
          <w:sz w:val="24"/>
          <w:szCs w:val="24"/>
          <w:lang w:val="en-GB" w:eastAsia="cs-CZ"/>
        </w:rPr>
        <w:t xml:space="preserve"> W. R. </w:t>
      </w:r>
      <w:r>
        <w:rPr>
          <w:rFonts w:ascii="Times New Roman" w:eastAsia="Times New Roman" w:hAnsi="Times New Roman" w:cs="Times New Roman"/>
          <w:bCs/>
          <w:sz w:val="24"/>
          <w:szCs w:val="24"/>
          <w:lang w:val="en-GB" w:eastAsia="cs-CZ"/>
        </w:rPr>
        <w:t>(</w:t>
      </w:r>
      <w:r w:rsidRPr="003F04C6">
        <w:rPr>
          <w:rFonts w:ascii="Times New Roman" w:eastAsia="Times New Roman" w:hAnsi="Times New Roman" w:cs="Times New Roman"/>
          <w:bCs/>
          <w:sz w:val="24"/>
          <w:szCs w:val="24"/>
          <w:lang w:val="en-GB" w:eastAsia="cs-CZ"/>
        </w:rPr>
        <w:t>1997</w:t>
      </w:r>
      <w:r>
        <w:rPr>
          <w:rFonts w:ascii="Times New Roman" w:eastAsia="Times New Roman" w:hAnsi="Times New Roman" w:cs="Times New Roman"/>
          <w:bCs/>
          <w:sz w:val="24"/>
          <w:szCs w:val="24"/>
          <w:lang w:val="en-GB" w:eastAsia="cs-CZ"/>
        </w:rPr>
        <w:t>)</w:t>
      </w:r>
      <w:r w:rsidRPr="003F04C6">
        <w:rPr>
          <w:rFonts w:ascii="Times New Roman" w:eastAsia="Times New Roman" w:hAnsi="Times New Roman" w:cs="Times New Roman"/>
          <w:bCs/>
          <w:sz w:val="24"/>
          <w:szCs w:val="24"/>
          <w:lang w:val="en-GB" w:eastAsia="cs-CZ"/>
        </w:rPr>
        <w:t xml:space="preserve">: Wheat grain cadmium as affected by long-term fertilization and soil acidity. Journal </w:t>
      </w:r>
      <w:proofErr w:type="spellStart"/>
      <w:r w:rsidRPr="003F04C6">
        <w:rPr>
          <w:rFonts w:ascii="Times New Roman" w:eastAsia="Times New Roman" w:hAnsi="Times New Roman" w:cs="Times New Roman"/>
          <w:bCs/>
          <w:sz w:val="24"/>
          <w:szCs w:val="24"/>
          <w:lang w:val="en-GB" w:eastAsia="cs-CZ"/>
        </w:rPr>
        <w:t>Enviromental</w:t>
      </w:r>
      <w:proofErr w:type="spellEnd"/>
      <w:r w:rsidRPr="003F04C6">
        <w:rPr>
          <w:rFonts w:ascii="Times New Roman" w:eastAsia="Times New Roman" w:hAnsi="Times New Roman" w:cs="Times New Roman"/>
          <w:bCs/>
          <w:sz w:val="24"/>
          <w:szCs w:val="24"/>
          <w:lang w:val="en-GB" w:eastAsia="cs-CZ"/>
        </w:rPr>
        <w:t xml:space="preserve"> Quality, 1997 (26), p. 265-271.</w:t>
      </w:r>
    </w:p>
    <w:p w:rsidR="001F59C3" w:rsidRPr="003F04C6" w:rsidRDefault="001F59C3" w:rsidP="001F59C3">
      <w:pPr>
        <w:spacing w:after="120"/>
        <w:rPr>
          <w:rFonts w:ascii="Times New Roman" w:eastAsia="Times New Roman" w:hAnsi="Times New Roman" w:cs="Times New Roman"/>
          <w:bCs/>
          <w:sz w:val="24"/>
          <w:szCs w:val="24"/>
          <w:lang w:eastAsia="cs-CZ"/>
        </w:rPr>
      </w:pPr>
      <w:proofErr w:type="spellStart"/>
      <w:r w:rsidRPr="003F04C6">
        <w:rPr>
          <w:rFonts w:ascii="Times New Roman" w:eastAsia="Times New Roman" w:hAnsi="Times New Roman" w:cs="Times New Roman"/>
          <w:bCs/>
          <w:sz w:val="24"/>
          <w:szCs w:val="24"/>
          <w:lang w:eastAsia="cs-CZ"/>
        </w:rPr>
        <w:t>Goldberg</w:t>
      </w:r>
      <w:proofErr w:type="spellEnd"/>
      <w:r w:rsidRPr="003F04C6">
        <w:rPr>
          <w:rFonts w:ascii="Times New Roman" w:eastAsia="Times New Roman" w:hAnsi="Times New Roman" w:cs="Times New Roman"/>
          <w:bCs/>
          <w:sz w:val="24"/>
          <w:szCs w:val="24"/>
          <w:lang w:eastAsia="cs-CZ"/>
        </w:rPr>
        <w:t xml:space="preserve"> S., </w:t>
      </w:r>
      <w:proofErr w:type="spellStart"/>
      <w:r w:rsidRPr="003F04C6">
        <w:rPr>
          <w:rFonts w:ascii="Times New Roman" w:eastAsia="Times New Roman" w:hAnsi="Times New Roman" w:cs="Times New Roman"/>
          <w:bCs/>
          <w:sz w:val="24"/>
          <w:szCs w:val="24"/>
          <w:lang w:eastAsia="cs-CZ"/>
        </w:rPr>
        <w:t>Forster</w:t>
      </w:r>
      <w:proofErr w:type="spellEnd"/>
      <w:r w:rsidRPr="003F04C6">
        <w:rPr>
          <w:rFonts w:ascii="Times New Roman" w:eastAsia="Times New Roman" w:hAnsi="Times New Roman" w:cs="Times New Roman"/>
          <w:bCs/>
          <w:sz w:val="24"/>
          <w:szCs w:val="24"/>
          <w:lang w:eastAsia="cs-CZ"/>
        </w:rPr>
        <w:t xml:space="preserve">, H. S. </w:t>
      </w:r>
      <w:r>
        <w:rPr>
          <w:rFonts w:ascii="Times New Roman" w:eastAsia="Times New Roman" w:hAnsi="Times New Roman" w:cs="Times New Roman"/>
          <w:bCs/>
          <w:sz w:val="24"/>
          <w:szCs w:val="24"/>
          <w:lang w:eastAsia="cs-CZ"/>
        </w:rPr>
        <w:t>(</w:t>
      </w:r>
      <w:r w:rsidRPr="003F04C6">
        <w:rPr>
          <w:rFonts w:ascii="Times New Roman" w:eastAsia="Times New Roman" w:hAnsi="Times New Roman" w:cs="Times New Roman"/>
          <w:bCs/>
          <w:sz w:val="24"/>
          <w:szCs w:val="24"/>
          <w:lang w:eastAsia="cs-CZ"/>
        </w:rPr>
        <w:t>1997</w:t>
      </w:r>
      <w:r>
        <w:rPr>
          <w:rFonts w:ascii="Times New Roman" w:eastAsia="Times New Roman" w:hAnsi="Times New Roman" w:cs="Times New Roman"/>
          <w:bCs/>
          <w:sz w:val="24"/>
          <w:szCs w:val="24"/>
          <w:lang w:eastAsia="cs-CZ"/>
        </w:rPr>
        <w:t>)</w:t>
      </w:r>
      <w:r w:rsidRPr="003F04C6">
        <w:rPr>
          <w:rFonts w:ascii="Times New Roman" w:eastAsia="Times New Roman" w:hAnsi="Times New Roman" w:cs="Times New Roman"/>
          <w:bCs/>
          <w:sz w:val="24"/>
          <w:szCs w:val="24"/>
          <w:lang w:eastAsia="cs-CZ"/>
        </w:rPr>
        <w:t xml:space="preserve">: </w:t>
      </w:r>
      <w:proofErr w:type="spellStart"/>
      <w:r w:rsidRPr="003F04C6">
        <w:rPr>
          <w:rFonts w:ascii="Times New Roman" w:eastAsia="Times New Roman" w:hAnsi="Times New Roman" w:cs="Times New Roman"/>
          <w:bCs/>
          <w:sz w:val="24"/>
          <w:szCs w:val="24"/>
          <w:lang w:eastAsia="cs-CZ"/>
        </w:rPr>
        <w:t>Factors</w:t>
      </w:r>
      <w:proofErr w:type="spellEnd"/>
      <w:r w:rsidRPr="003F04C6">
        <w:rPr>
          <w:rFonts w:ascii="Times New Roman" w:eastAsia="Times New Roman" w:hAnsi="Times New Roman" w:cs="Times New Roman"/>
          <w:bCs/>
          <w:sz w:val="24"/>
          <w:szCs w:val="24"/>
          <w:lang w:eastAsia="cs-CZ"/>
        </w:rPr>
        <w:t xml:space="preserve"> </w:t>
      </w:r>
      <w:proofErr w:type="spellStart"/>
      <w:r w:rsidRPr="003F04C6">
        <w:rPr>
          <w:rFonts w:ascii="Times New Roman" w:eastAsia="Times New Roman" w:hAnsi="Times New Roman" w:cs="Times New Roman"/>
          <w:bCs/>
          <w:sz w:val="24"/>
          <w:szCs w:val="24"/>
          <w:lang w:eastAsia="cs-CZ"/>
        </w:rPr>
        <w:t>affecting</w:t>
      </w:r>
      <w:proofErr w:type="spellEnd"/>
      <w:r w:rsidRPr="003F04C6">
        <w:rPr>
          <w:rFonts w:ascii="Times New Roman" w:eastAsia="Times New Roman" w:hAnsi="Times New Roman" w:cs="Times New Roman"/>
          <w:bCs/>
          <w:sz w:val="24"/>
          <w:szCs w:val="24"/>
          <w:lang w:eastAsia="cs-CZ"/>
        </w:rPr>
        <w:t xml:space="preserve"> </w:t>
      </w:r>
      <w:proofErr w:type="spellStart"/>
      <w:r w:rsidRPr="003F04C6">
        <w:rPr>
          <w:rFonts w:ascii="Times New Roman" w:eastAsia="Times New Roman" w:hAnsi="Times New Roman" w:cs="Times New Roman"/>
          <w:bCs/>
          <w:sz w:val="24"/>
          <w:szCs w:val="24"/>
          <w:lang w:eastAsia="cs-CZ"/>
        </w:rPr>
        <w:t>molybdenum</w:t>
      </w:r>
      <w:proofErr w:type="spellEnd"/>
      <w:r w:rsidRPr="003F04C6">
        <w:rPr>
          <w:rFonts w:ascii="Times New Roman" w:eastAsia="Times New Roman" w:hAnsi="Times New Roman" w:cs="Times New Roman"/>
          <w:bCs/>
          <w:sz w:val="24"/>
          <w:szCs w:val="24"/>
          <w:lang w:eastAsia="cs-CZ"/>
        </w:rPr>
        <w:t xml:space="preserve"> </w:t>
      </w:r>
      <w:proofErr w:type="spellStart"/>
      <w:r w:rsidRPr="003F04C6">
        <w:rPr>
          <w:rFonts w:ascii="Times New Roman" w:eastAsia="Times New Roman" w:hAnsi="Times New Roman" w:cs="Times New Roman"/>
          <w:bCs/>
          <w:sz w:val="24"/>
          <w:szCs w:val="24"/>
          <w:lang w:eastAsia="cs-CZ"/>
        </w:rPr>
        <w:t>adsorption</w:t>
      </w:r>
      <w:proofErr w:type="spellEnd"/>
      <w:r w:rsidRPr="003F04C6">
        <w:rPr>
          <w:rFonts w:ascii="Times New Roman" w:eastAsia="Times New Roman" w:hAnsi="Times New Roman" w:cs="Times New Roman"/>
          <w:bCs/>
          <w:sz w:val="24"/>
          <w:szCs w:val="24"/>
          <w:lang w:eastAsia="cs-CZ"/>
        </w:rPr>
        <w:t xml:space="preserve"> by </w:t>
      </w:r>
      <w:proofErr w:type="spellStart"/>
      <w:r w:rsidRPr="003F04C6">
        <w:rPr>
          <w:rFonts w:ascii="Times New Roman" w:eastAsia="Times New Roman" w:hAnsi="Times New Roman" w:cs="Times New Roman"/>
          <w:bCs/>
          <w:sz w:val="24"/>
          <w:szCs w:val="24"/>
          <w:lang w:eastAsia="cs-CZ"/>
        </w:rPr>
        <w:t>soils</w:t>
      </w:r>
      <w:proofErr w:type="spellEnd"/>
      <w:r w:rsidRPr="003F04C6">
        <w:rPr>
          <w:rFonts w:ascii="Times New Roman" w:eastAsia="Times New Roman" w:hAnsi="Times New Roman" w:cs="Times New Roman"/>
          <w:bCs/>
          <w:sz w:val="24"/>
          <w:szCs w:val="24"/>
          <w:lang w:eastAsia="cs-CZ"/>
        </w:rPr>
        <w:t xml:space="preserve"> and </w:t>
      </w:r>
      <w:proofErr w:type="spellStart"/>
      <w:r w:rsidRPr="003F04C6">
        <w:rPr>
          <w:rFonts w:ascii="Times New Roman" w:eastAsia="Times New Roman" w:hAnsi="Times New Roman" w:cs="Times New Roman"/>
          <w:bCs/>
          <w:sz w:val="24"/>
          <w:szCs w:val="24"/>
          <w:lang w:eastAsia="cs-CZ"/>
        </w:rPr>
        <w:t>minerals</w:t>
      </w:r>
      <w:proofErr w:type="spellEnd"/>
      <w:r w:rsidRPr="003F04C6">
        <w:rPr>
          <w:rFonts w:ascii="Times New Roman" w:eastAsia="Times New Roman" w:hAnsi="Times New Roman" w:cs="Times New Roman"/>
          <w:bCs/>
          <w:sz w:val="24"/>
          <w:szCs w:val="24"/>
          <w:lang w:eastAsia="cs-CZ"/>
        </w:rPr>
        <w:t xml:space="preserve">. </w:t>
      </w:r>
      <w:proofErr w:type="spellStart"/>
      <w:r w:rsidRPr="003F04C6">
        <w:rPr>
          <w:rFonts w:ascii="Times New Roman" w:eastAsia="Times New Roman" w:hAnsi="Times New Roman" w:cs="Times New Roman"/>
          <w:bCs/>
          <w:sz w:val="24"/>
          <w:szCs w:val="24"/>
          <w:lang w:eastAsia="cs-CZ"/>
        </w:rPr>
        <w:t>Soil</w:t>
      </w:r>
      <w:proofErr w:type="spellEnd"/>
      <w:r w:rsidRPr="003F04C6">
        <w:rPr>
          <w:rFonts w:ascii="Times New Roman" w:eastAsia="Times New Roman" w:hAnsi="Times New Roman" w:cs="Times New Roman"/>
          <w:bCs/>
          <w:sz w:val="24"/>
          <w:szCs w:val="24"/>
          <w:lang w:eastAsia="cs-CZ"/>
        </w:rPr>
        <w:t xml:space="preserve"> Science, </w:t>
      </w:r>
      <w:proofErr w:type="spellStart"/>
      <w:r w:rsidRPr="003F04C6">
        <w:rPr>
          <w:rFonts w:ascii="Times New Roman" w:eastAsia="Times New Roman" w:hAnsi="Times New Roman" w:cs="Times New Roman"/>
          <w:bCs/>
          <w:sz w:val="24"/>
          <w:szCs w:val="24"/>
          <w:lang w:eastAsia="cs-CZ"/>
        </w:rPr>
        <w:t>February</w:t>
      </w:r>
      <w:proofErr w:type="spellEnd"/>
      <w:r w:rsidRPr="003F04C6">
        <w:rPr>
          <w:rFonts w:ascii="Times New Roman" w:eastAsia="Times New Roman" w:hAnsi="Times New Roman" w:cs="Times New Roman"/>
          <w:bCs/>
          <w:sz w:val="24"/>
          <w:szCs w:val="24"/>
          <w:lang w:eastAsia="cs-CZ"/>
        </w:rPr>
        <w:t xml:space="preserve"> 1998, 163 (2)</w:t>
      </w:r>
      <w:r>
        <w:rPr>
          <w:rFonts w:ascii="Times New Roman" w:eastAsia="Times New Roman" w:hAnsi="Times New Roman" w:cs="Times New Roman"/>
          <w:bCs/>
          <w:sz w:val="24"/>
          <w:szCs w:val="24"/>
          <w:lang w:eastAsia="cs-CZ"/>
        </w:rPr>
        <w:t>:</w:t>
      </w:r>
      <w:r w:rsidRPr="003F04C6">
        <w:rPr>
          <w:rFonts w:ascii="Times New Roman" w:eastAsia="Times New Roman" w:hAnsi="Times New Roman" w:cs="Times New Roman"/>
          <w:bCs/>
          <w:sz w:val="24"/>
          <w:szCs w:val="24"/>
          <w:lang w:eastAsia="cs-CZ"/>
        </w:rPr>
        <w:t xml:space="preserve"> 109-114. </w:t>
      </w:r>
    </w:p>
    <w:p w:rsidR="001F59C3" w:rsidRPr="00B94F7E" w:rsidRDefault="001F59C3" w:rsidP="001F59C3">
      <w:pPr>
        <w:spacing w:after="120"/>
        <w:rPr>
          <w:rFonts w:ascii="Times New Roman" w:eastAsia="Times New Roman" w:hAnsi="Times New Roman" w:cs="Times New Roman"/>
          <w:bCs/>
          <w:sz w:val="24"/>
          <w:szCs w:val="24"/>
          <w:lang w:eastAsia="cs-CZ"/>
        </w:rPr>
      </w:pPr>
      <w:proofErr w:type="spellStart"/>
      <w:r w:rsidRPr="006B2284">
        <w:rPr>
          <w:rFonts w:ascii="Times New Roman" w:eastAsia="Times New Roman" w:hAnsi="Times New Roman" w:cs="Times New Roman"/>
          <w:bCs/>
          <w:sz w:val="24"/>
          <w:szCs w:val="24"/>
          <w:lang w:eastAsia="cs-CZ"/>
        </w:rPr>
        <w:t>Grau</w:t>
      </w:r>
      <w:proofErr w:type="spellEnd"/>
      <w:r w:rsidRPr="006B2284">
        <w:rPr>
          <w:rFonts w:ascii="Times New Roman" w:eastAsia="Times New Roman" w:hAnsi="Times New Roman" w:cs="Times New Roman"/>
          <w:bCs/>
          <w:sz w:val="24"/>
          <w:szCs w:val="24"/>
          <w:lang w:eastAsia="cs-CZ"/>
        </w:rPr>
        <w:t xml:space="preserve"> G., </w:t>
      </w:r>
      <w:proofErr w:type="spellStart"/>
      <w:r w:rsidRPr="006B2284">
        <w:rPr>
          <w:rFonts w:ascii="Times New Roman" w:eastAsia="Times New Roman" w:hAnsi="Times New Roman" w:cs="Times New Roman"/>
          <w:bCs/>
          <w:sz w:val="24"/>
          <w:szCs w:val="24"/>
          <w:lang w:eastAsia="cs-CZ"/>
        </w:rPr>
        <w:t>Riou</w:t>
      </w:r>
      <w:proofErr w:type="spellEnd"/>
      <w:r w:rsidRPr="006B2284">
        <w:rPr>
          <w:rFonts w:ascii="Times New Roman" w:eastAsia="Times New Roman" w:hAnsi="Times New Roman" w:cs="Times New Roman"/>
          <w:bCs/>
          <w:sz w:val="24"/>
          <w:szCs w:val="24"/>
          <w:lang w:eastAsia="cs-CZ"/>
        </w:rPr>
        <w:t xml:space="preserve"> C., </w:t>
      </w:r>
      <w:proofErr w:type="spellStart"/>
      <w:r w:rsidRPr="006B2284">
        <w:rPr>
          <w:rFonts w:ascii="Times New Roman" w:eastAsia="Times New Roman" w:hAnsi="Times New Roman" w:cs="Times New Roman"/>
          <w:bCs/>
          <w:sz w:val="24"/>
          <w:szCs w:val="24"/>
          <w:lang w:eastAsia="cs-CZ"/>
        </w:rPr>
        <w:t>Lauquet</w:t>
      </w:r>
      <w:proofErr w:type="spellEnd"/>
      <w:r w:rsidRPr="006B2284">
        <w:rPr>
          <w:rFonts w:ascii="Times New Roman" w:eastAsia="Times New Roman" w:hAnsi="Times New Roman" w:cs="Times New Roman"/>
          <w:bCs/>
          <w:sz w:val="24"/>
          <w:szCs w:val="24"/>
          <w:lang w:eastAsia="cs-CZ"/>
        </w:rPr>
        <w:t xml:space="preserve"> G., Dia A., </w:t>
      </w:r>
      <w:proofErr w:type="spellStart"/>
      <w:r w:rsidRPr="006B2284">
        <w:rPr>
          <w:rFonts w:ascii="Times New Roman" w:eastAsia="Times New Roman" w:hAnsi="Times New Roman" w:cs="Times New Roman"/>
          <w:bCs/>
          <w:sz w:val="24"/>
          <w:szCs w:val="24"/>
          <w:lang w:eastAsia="cs-CZ"/>
        </w:rPr>
        <w:t>Jafrezic</w:t>
      </w:r>
      <w:proofErr w:type="spellEnd"/>
      <w:r w:rsidRPr="006B2284">
        <w:rPr>
          <w:rFonts w:ascii="Times New Roman" w:eastAsia="Times New Roman" w:hAnsi="Times New Roman" w:cs="Times New Roman"/>
          <w:bCs/>
          <w:sz w:val="24"/>
          <w:szCs w:val="24"/>
          <w:lang w:eastAsia="cs-CZ"/>
        </w:rPr>
        <w:t xml:space="preserve">, A., </w:t>
      </w:r>
      <w:proofErr w:type="spellStart"/>
      <w:r w:rsidRPr="006B2284">
        <w:rPr>
          <w:rFonts w:ascii="Times New Roman" w:eastAsia="Times New Roman" w:hAnsi="Times New Roman" w:cs="Times New Roman"/>
          <w:bCs/>
          <w:sz w:val="24"/>
          <w:szCs w:val="24"/>
          <w:lang w:eastAsia="cs-CZ"/>
        </w:rPr>
        <w:t>Molenat</w:t>
      </w:r>
      <w:proofErr w:type="spellEnd"/>
      <w:r w:rsidRPr="006B2284">
        <w:rPr>
          <w:rFonts w:ascii="Times New Roman" w:eastAsia="Times New Roman" w:hAnsi="Times New Roman" w:cs="Times New Roman"/>
          <w:bCs/>
          <w:sz w:val="24"/>
          <w:szCs w:val="24"/>
          <w:lang w:eastAsia="cs-CZ"/>
        </w:rPr>
        <w:t xml:space="preserve"> J. </w:t>
      </w:r>
      <w:r>
        <w:rPr>
          <w:rFonts w:ascii="Times New Roman" w:eastAsia="Times New Roman" w:hAnsi="Times New Roman" w:cs="Times New Roman"/>
          <w:bCs/>
          <w:sz w:val="24"/>
          <w:szCs w:val="24"/>
          <w:lang w:eastAsia="cs-CZ"/>
        </w:rPr>
        <w:t>(</w:t>
      </w:r>
      <w:r w:rsidRPr="006B2284">
        <w:rPr>
          <w:rFonts w:ascii="Times New Roman" w:eastAsia="Times New Roman" w:hAnsi="Times New Roman" w:cs="Times New Roman"/>
          <w:bCs/>
          <w:sz w:val="24"/>
          <w:szCs w:val="24"/>
          <w:lang w:eastAsia="cs-CZ"/>
        </w:rPr>
        <w:t>1999</w:t>
      </w:r>
      <w:r>
        <w:rPr>
          <w:rFonts w:ascii="Times New Roman" w:eastAsia="Times New Roman" w:hAnsi="Times New Roman" w:cs="Times New Roman"/>
          <w:bCs/>
          <w:sz w:val="24"/>
          <w:szCs w:val="24"/>
          <w:lang w:eastAsia="cs-CZ"/>
        </w:rPr>
        <w:t>)</w:t>
      </w:r>
      <w:r w:rsidRPr="006B2284">
        <w:rPr>
          <w:rFonts w:ascii="Times New Roman" w:eastAsia="Times New Roman" w:hAnsi="Times New Roman" w:cs="Times New Roman"/>
          <w:bCs/>
          <w:sz w:val="24"/>
          <w:szCs w:val="24"/>
          <w:lang w:eastAsia="cs-CZ"/>
        </w:rPr>
        <w:t xml:space="preserve">: Transport </w:t>
      </w:r>
      <w:proofErr w:type="spellStart"/>
      <w:r w:rsidRPr="006B2284">
        <w:rPr>
          <w:rFonts w:ascii="Times New Roman" w:eastAsia="Times New Roman" w:hAnsi="Times New Roman" w:cs="Times New Roman"/>
          <w:bCs/>
          <w:sz w:val="24"/>
          <w:szCs w:val="24"/>
          <w:lang w:eastAsia="cs-CZ"/>
        </w:rPr>
        <w:t>of</w:t>
      </w:r>
      <w:proofErr w:type="spellEnd"/>
      <w:r w:rsidRPr="006B2284">
        <w:rPr>
          <w:rFonts w:ascii="Times New Roman" w:eastAsia="Times New Roman" w:hAnsi="Times New Roman" w:cs="Times New Roman"/>
          <w:bCs/>
          <w:sz w:val="24"/>
          <w:szCs w:val="24"/>
          <w:lang w:eastAsia="cs-CZ"/>
        </w:rPr>
        <w:t xml:space="preserve"> </w:t>
      </w:r>
      <w:proofErr w:type="spellStart"/>
      <w:r w:rsidRPr="006B2284">
        <w:rPr>
          <w:rFonts w:ascii="Times New Roman" w:eastAsia="Times New Roman" w:hAnsi="Times New Roman" w:cs="Times New Roman"/>
          <w:bCs/>
          <w:sz w:val="24"/>
          <w:szCs w:val="24"/>
          <w:lang w:eastAsia="cs-CZ"/>
        </w:rPr>
        <w:t>trace</w:t>
      </w:r>
      <w:proofErr w:type="spellEnd"/>
      <w:r w:rsidRPr="006B2284">
        <w:rPr>
          <w:rFonts w:ascii="Times New Roman" w:eastAsia="Times New Roman" w:hAnsi="Times New Roman" w:cs="Times New Roman"/>
          <w:bCs/>
          <w:sz w:val="24"/>
          <w:szCs w:val="24"/>
          <w:lang w:eastAsia="cs-CZ"/>
        </w:rPr>
        <w:t xml:space="preserve"> metals: </w:t>
      </w:r>
      <w:proofErr w:type="spellStart"/>
      <w:r w:rsidRPr="006B2284">
        <w:rPr>
          <w:rFonts w:ascii="Times New Roman" w:eastAsia="Times New Roman" w:hAnsi="Times New Roman" w:cs="Times New Roman"/>
          <w:bCs/>
          <w:sz w:val="24"/>
          <w:szCs w:val="24"/>
          <w:lang w:eastAsia="cs-CZ"/>
        </w:rPr>
        <w:t>Linking</w:t>
      </w:r>
      <w:proofErr w:type="spellEnd"/>
      <w:r w:rsidRPr="006B2284">
        <w:rPr>
          <w:rFonts w:ascii="Times New Roman" w:eastAsia="Times New Roman" w:hAnsi="Times New Roman" w:cs="Times New Roman"/>
          <w:bCs/>
          <w:sz w:val="24"/>
          <w:szCs w:val="24"/>
          <w:lang w:eastAsia="cs-CZ"/>
        </w:rPr>
        <w:t xml:space="preserve"> </w:t>
      </w:r>
      <w:proofErr w:type="spellStart"/>
      <w:r w:rsidRPr="006B2284">
        <w:rPr>
          <w:rFonts w:ascii="Times New Roman" w:eastAsia="Times New Roman" w:hAnsi="Times New Roman" w:cs="Times New Roman"/>
          <w:bCs/>
          <w:sz w:val="24"/>
          <w:szCs w:val="24"/>
          <w:lang w:eastAsia="cs-CZ"/>
        </w:rPr>
        <w:t>the</w:t>
      </w:r>
      <w:proofErr w:type="spellEnd"/>
      <w:r w:rsidRPr="006B2284">
        <w:rPr>
          <w:rFonts w:ascii="Times New Roman" w:eastAsia="Times New Roman" w:hAnsi="Times New Roman" w:cs="Times New Roman"/>
          <w:bCs/>
          <w:sz w:val="24"/>
          <w:szCs w:val="24"/>
          <w:lang w:eastAsia="cs-CZ"/>
        </w:rPr>
        <w:t xml:space="preserve"> role </w:t>
      </w:r>
      <w:proofErr w:type="spellStart"/>
      <w:r w:rsidRPr="006B2284">
        <w:rPr>
          <w:rFonts w:ascii="Times New Roman" w:eastAsia="Times New Roman" w:hAnsi="Times New Roman" w:cs="Times New Roman"/>
          <w:bCs/>
          <w:sz w:val="24"/>
          <w:szCs w:val="24"/>
          <w:lang w:eastAsia="cs-CZ"/>
        </w:rPr>
        <w:t>of</w:t>
      </w:r>
      <w:proofErr w:type="spellEnd"/>
      <w:r w:rsidRPr="006B2284">
        <w:rPr>
          <w:rFonts w:ascii="Times New Roman" w:eastAsia="Times New Roman" w:hAnsi="Times New Roman" w:cs="Times New Roman"/>
          <w:bCs/>
          <w:sz w:val="24"/>
          <w:szCs w:val="24"/>
          <w:lang w:eastAsia="cs-CZ"/>
        </w:rPr>
        <w:t xml:space="preserve"> </w:t>
      </w:r>
      <w:proofErr w:type="spellStart"/>
      <w:r w:rsidRPr="006B2284">
        <w:rPr>
          <w:rFonts w:ascii="Times New Roman" w:eastAsia="Times New Roman" w:hAnsi="Times New Roman" w:cs="Times New Roman"/>
          <w:bCs/>
          <w:sz w:val="24"/>
          <w:szCs w:val="24"/>
          <w:lang w:eastAsia="cs-CZ"/>
        </w:rPr>
        <w:t>colloids</w:t>
      </w:r>
      <w:proofErr w:type="spellEnd"/>
      <w:r w:rsidRPr="006B2284">
        <w:rPr>
          <w:rFonts w:ascii="Times New Roman" w:eastAsia="Times New Roman" w:hAnsi="Times New Roman" w:cs="Times New Roman"/>
          <w:bCs/>
          <w:sz w:val="24"/>
          <w:szCs w:val="24"/>
          <w:lang w:eastAsia="cs-CZ"/>
        </w:rPr>
        <w:t xml:space="preserve">, </w:t>
      </w:r>
      <w:proofErr w:type="spellStart"/>
      <w:r w:rsidRPr="006B2284">
        <w:rPr>
          <w:rFonts w:ascii="Times New Roman" w:eastAsia="Times New Roman" w:hAnsi="Times New Roman" w:cs="Times New Roman"/>
          <w:bCs/>
          <w:sz w:val="24"/>
          <w:szCs w:val="24"/>
          <w:lang w:eastAsia="cs-CZ"/>
        </w:rPr>
        <w:t>redox</w:t>
      </w:r>
      <w:proofErr w:type="spellEnd"/>
      <w:r w:rsidRPr="006B2284">
        <w:rPr>
          <w:rFonts w:ascii="Times New Roman" w:eastAsia="Times New Roman" w:hAnsi="Times New Roman" w:cs="Times New Roman"/>
          <w:bCs/>
          <w:sz w:val="24"/>
          <w:szCs w:val="24"/>
          <w:lang w:eastAsia="cs-CZ"/>
        </w:rPr>
        <w:t xml:space="preserve"> </w:t>
      </w:r>
      <w:proofErr w:type="spellStart"/>
      <w:r w:rsidRPr="006B2284">
        <w:rPr>
          <w:rFonts w:ascii="Times New Roman" w:eastAsia="Times New Roman" w:hAnsi="Times New Roman" w:cs="Times New Roman"/>
          <w:bCs/>
          <w:sz w:val="24"/>
          <w:szCs w:val="24"/>
          <w:lang w:eastAsia="cs-CZ"/>
        </w:rPr>
        <w:t>conditions</w:t>
      </w:r>
      <w:proofErr w:type="spellEnd"/>
      <w:r w:rsidRPr="006B2284">
        <w:rPr>
          <w:rFonts w:ascii="Times New Roman" w:eastAsia="Times New Roman" w:hAnsi="Times New Roman" w:cs="Times New Roman"/>
          <w:bCs/>
          <w:sz w:val="24"/>
          <w:szCs w:val="24"/>
          <w:lang w:eastAsia="cs-CZ"/>
        </w:rPr>
        <w:t xml:space="preserve"> and hydrology. 5th International </w:t>
      </w:r>
      <w:proofErr w:type="spellStart"/>
      <w:r w:rsidRPr="006B2284">
        <w:rPr>
          <w:rFonts w:ascii="Times New Roman" w:eastAsia="Times New Roman" w:hAnsi="Times New Roman" w:cs="Times New Roman"/>
          <w:bCs/>
          <w:sz w:val="24"/>
          <w:szCs w:val="24"/>
          <w:lang w:eastAsia="cs-CZ"/>
        </w:rPr>
        <w:t>Conference</w:t>
      </w:r>
      <w:proofErr w:type="spellEnd"/>
      <w:r w:rsidRPr="006B2284">
        <w:rPr>
          <w:rFonts w:ascii="Times New Roman" w:eastAsia="Times New Roman" w:hAnsi="Times New Roman" w:cs="Times New Roman"/>
          <w:bCs/>
          <w:sz w:val="24"/>
          <w:szCs w:val="24"/>
          <w:lang w:eastAsia="cs-CZ"/>
        </w:rPr>
        <w:t xml:space="preserve"> on </w:t>
      </w:r>
      <w:proofErr w:type="spellStart"/>
      <w:r w:rsidRPr="006B2284">
        <w:rPr>
          <w:rFonts w:ascii="Times New Roman" w:eastAsia="Times New Roman" w:hAnsi="Times New Roman" w:cs="Times New Roman"/>
          <w:bCs/>
          <w:sz w:val="24"/>
          <w:szCs w:val="24"/>
          <w:lang w:eastAsia="cs-CZ"/>
        </w:rPr>
        <w:t>the</w:t>
      </w:r>
      <w:proofErr w:type="spellEnd"/>
      <w:r w:rsidRPr="006B2284">
        <w:rPr>
          <w:rFonts w:ascii="Times New Roman" w:eastAsia="Times New Roman" w:hAnsi="Times New Roman" w:cs="Times New Roman"/>
          <w:bCs/>
          <w:sz w:val="24"/>
          <w:szCs w:val="24"/>
          <w:lang w:eastAsia="cs-CZ"/>
        </w:rPr>
        <w:t xml:space="preserve"> </w:t>
      </w:r>
      <w:proofErr w:type="spellStart"/>
      <w:r w:rsidRPr="006B2284">
        <w:rPr>
          <w:rFonts w:ascii="Times New Roman" w:eastAsia="Times New Roman" w:hAnsi="Times New Roman" w:cs="Times New Roman"/>
          <w:bCs/>
          <w:sz w:val="24"/>
          <w:szCs w:val="24"/>
          <w:lang w:eastAsia="cs-CZ"/>
        </w:rPr>
        <w:t>Biogeochemistry</w:t>
      </w:r>
      <w:proofErr w:type="spellEnd"/>
      <w:r w:rsidRPr="006B2284">
        <w:rPr>
          <w:rFonts w:ascii="Times New Roman" w:eastAsia="Times New Roman" w:hAnsi="Times New Roman" w:cs="Times New Roman"/>
          <w:bCs/>
          <w:sz w:val="24"/>
          <w:szCs w:val="24"/>
          <w:lang w:eastAsia="cs-CZ"/>
        </w:rPr>
        <w:t xml:space="preserve"> </w:t>
      </w:r>
      <w:proofErr w:type="spellStart"/>
      <w:r w:rsidRPr="006B2284">
        <w:rPr>
          <w:rFonts w:ascii="Times New Roman" w:eastAsia="Times New Roman" w:hAnsi="Times New Roman" w:cs="Times New Roman"/>
          <w:bCs/>
          <w:sz w:val="24"/>
          <w:szCs w:val="24"/>
          <w:lang w:eastAsia="cs-CZ"/>
        </w:rPr>
        <w:t>of</w:t>
      </w:r>
      <w:proofErr w:type="spellEnd"/>
      <w:r w:rsidRPr="006B2284">
        <w:rPr>
          <w:rFonts w:ascii="Times New Roman" w:eastAsia="Times New Roman" w:hAnsi="Times New Roman" w:cs="Times New Roman"/>
          <w:bCs/>
          <w:sz w:val="24"/>
          <w:szCs w:val="24"/>
          <w:lang w:eastAsia="cs-CZ"/>
        </w:rPr>
        <w:t xml:space="preserve"> </w:t>
      </w:r>
      <w:proofErr w:type="spellStart"/>
      <w:r w:rsidRPr="006B2284">
        <w:rPr>
          <w:rFonts w:ascii="Times New Roman" w:eastAsia="Times New Roman" w:hAnsi="Times New Roman" w:cs="Times New Roman"/>
          <w:bCs/>
          <w:sz w:val="24"/>
          <w:szCs w:val="24"/>
          <w:lang w:eastAsia="cs-CZ"/>
        </w:rPr>
        <w:t>Trace</w:t>
      </w:r>
      <w:proofErr w:type="spellEnd"/>
      <w:r w:rsidRPr="006B2284">
        <w:rPr>
          <w:rFonts w:ascii="Times New Roman" w:eastAsia="Times New Roman" w:hAnsi="Times New Roman" w:cs="Times New Roman"/>
          <w:bCs/>
          <w:sz w:val="24"/>
          <w:szCs w:val="24"/>
          <w:lang w:eastAsia="cs-CZ"/>
        </w:rPr>
        <w:t xml:space="preserve"> </w:t>
      </w:r>
      <w:proofErr w:type="spellStart"/>
      <w:r w:rsidRPr="006B2284">
        <w:rPr>
          <w:rFonts w:ascii="Times New Roman" w:eastAsia="Times New Roman" w:hAnsi="Times New Roman" w:cs="Times New Roman"/>
          <w:bCs/>
          <w:sz w:val="24"/>
          <w:szCs w:val="24"/>
          <w:lang w:eastAsia="cs-CZ"/>
        </w:rPr>
        <w:t>Elements</w:t>
      </w:r>
      <w:proofErr w:type="spellEnd"/>
      <w:r w:rsidRPr="006B2284">
        <w:rPr>
          <w:rFonts w:ascii="Times New Roman" w:eastAsia="Times New Roman" w:hAnsi="Times New Roman" w:cs="Times New Roman"/>
          <w:bCs/>
          <w:sz w:val="24"/>
          <w:szCs w:val="24"/>
          <w:lang w:eastAsia="cs-CZ"/>
        </w:rPr>
        <w:t xml:space="preserve">, </w:t>
      </w:r>
      <w:proofErr w:type="gramStart"/>
      <w:r w:rsidRPr="006B2284">
        <w:rPr>
          <w:rFonts w:ascii="Times New Roman" w:eastAsia="Times New Roman" w:hAnsi="Times New Roman" w:cs="Times New Roman"/>
          <w:bCs/>
          <w:sz w:val="24"/>
          <w:szCs w:val="24"/>
          <w:lang w:eastAsia="cs-CZ"/>
        </w:rPr>
        <w:t>11.-15</w:t>
      </w:r>
      <w:proofErr w:type="gramEnd"/>
      <w:r w:rsidRPr="006B2284">
        <w:rPr>
          <w:rFonts w:ascii="Times New Roman" w:eastAsia="Times New Roman" w:hAnsi="Times New Roman" w:cs="Times New Roman"/>
          <w:bCs/>
          <w:sz w:val="24"/>
          <w:szCs w:val="24"/>
          <w:lang w:eastAsia="cs-CZ"/>
        </w:rPr>
        <w:t xml:space="preserve">. July, </w:t>
      </w:r>
      <w:proofErr w:type="spellStart"/>
      <w:r w:rsidRPr="006B2284">
        <w:rPr>
          <w:rFonts w:ascii="Times New Roman" w:eastAsia="Times New Roman" w:hAnsi="Times New Roman" w:cs="Times New Roman"/>
          <w:bCs/>
          <w:sz w:val="24"/>
          <w:szCs w:val="24"/>
          <w:lang w:eastAsia="cs-CZ"/>
        </w:rPr>
        <w:t>Vienna</w:t>
      </w:r>
      <w:proofErr w:type="spellEnd"/>
      <w:r w:rsidRPr="006B2284">
        <w:rPr>
          <w:rFonts w:ascii="Times New Roman" w:eastAsia="Times New Roman" w:hAnsi="Times New Roman" w:cs="Times New Roman"/>
          <w:bCs/>
          <w:sz w:val="24"/>
          <w:szCs w:val="24"/>
          <w:lang w:eastAsia="cs-CZ"/>
        </w:rPr>
        <w:t xml:space="preserve">, </w:t>
      </w:r>
      <w:proofErr w:type="spellStart"/>
      <w:r w:rsidRPr="006B2284">
        <w:rPr>
          <w:rFonts w:ascii="Times New Roman" w:eastAsia="Times New Roman" w:hAnsi="Times New Roman" w:cs="Times New Roman"/>
          <w:bCs/>
          <w:sz w:val="24"/>
          <w:szCs w:val="24"/>
          <w:lang w:eastAsia="cs-CZ"/>
        </w:rPr>
        <w:t>Austria</w:t>
      </w:r>
      <w:proofErr w:type="spellEnd"/>
      <w:r w:rsidRPr="006B2284">
        <w:rPr>
          <w:rFonts w:ascii="Times New Roman" w:eastAsia="Times New Roman" w:hAnsi="Times New Roman" w:cs="Times New Roman"/>
          <w:bCs/>
          <w:sz w:val="24"/>
          <w:szCs w:val="24"/>
          <w:lang w:eastAsia="cs-CZ"/>
        </w:rPr>
        <w:t xml:space="preserve">,  </w:t>
      </w:r>
      <w:proofErr w:type="spellStart"/>
      <w:r w:rsidRPr="006B2284">
        <w:rPr>
          <w:rFonts w:ascii="Times New Roman" w:eastAsia="Times New Roman" w:hAnsi="Times New Roman" w:cs="Times New Roman"/>
          <w:bCs/>
          <w:sz w:val="24"/>
          <w:szCs w:val="24"/>
          <w:lang w:eastAsia="cs-CZ"/>
        </w:rPr>
        <w:t>Proceedings</w:t>
      </w:r>
      <w:proofErr w:type="spellEnd"/>
      <w:r w:rsidRPr="006B2284">
        <w:rPr>
          <w:rFonts w:ascii="Times New Roman" w:eastAsia="Times New Roman" w:hAnsi="Times New Roman" w:cs="Times New Roman"/>
          <w:bCs/>
          <w:sz w:val="24"/>
          <w:szCs w:val="24"/>
          <w:lang w:eastAsia="cs-CZ"/>
        </w:rPr>
        <w:t xml:space="preserve"> </w:t>
      </w:r>
      <w:proofErr w:type="spellStart"/>
      <w:r w:rsidRPr="006B2284">
        <w:rPr>
          <w:rFonts w:ascii="Times New Roman" w:eastAsia="Times New Roman" w:hAnsi="Times New Roman" w:cs="Times New Roman"/>
          <w:bCs/>
          <w:sz w:val="24"/>
          <w:szCs w:val="24"/>
          <w:lang w:eastAsia="cs-CZ"/>
        </w:rPr>
        <w:t>of</w:t>
      </w:r>
      <w:proofErr w:type="spellEnd"/>
      <w:r w:rsidRPr="006B2284">
        <w:rPr>
          <w:rFonts w:ascii="Times New Roman" w:eastAsia="Times New Roman" w:hAnsi="Times New Roman" w:cs="Times New Roman"/>
          <w:bCs/>
          <w:sz w:val="24"/>
          <w:szCs w:val="24"/>
          <w:lang w:eastAsia="cs-CZ"/>
        </w:rPr>
        <w:t xml:space="preserve"> </w:t>
      </w:r>
      <w:proofErr w:type="spellStart"/>
      <w:r>
        <w:rPr>
          <w:rFonts w:ascii="Times New Roman" w:eastAsia="Times New Roman" w:hAnsi="Times New Roman" w:cs="Times New Roman"/>
          <w:bCs/>
          <w:sz w:val="24"/>
          <w:szCs w:val="24"/>
          <w:lang w:eastAsia="cs-CZ"/>
        </w:rPr>
        <w:t>extended</w:t>
      </w:r>
      <w:proofErr w:type="spellEnd"/>
      <w:r>
        <w:rPr>
          <w:rFonts w:ascii="Times New Roman" w:eastAsia="Times New Roman" w:hAnsi="Times New Roman" w:cs="Times New Roman"/>
          <w:bCs/>
          <w:sz w:val="24"/>
          <w:szCs w:val="24"/>
          <w:lang w:eastAsia="cs-CZ"/>
        </w:rPr>
        <w:t xml:space="preserve"> </w:t>
      </w:r>
      <w:proofErr w:type="spellStart"/>
      <w:r>
        <w:rPr>
          <w:rFonts w:ascii="Times New Roman" w:eastAsia="Times New Roman" w:hAnsi="Times New Roman" w:cs="Times New Roman"/>
          <w:bCs/>
          <w:sz w:val="24"/>
          <w:szCs w:val="24"/>
          <w:lang w:eastAsia="cs-CZ"/>
        </w:rPr>
        <w:t>abstracts</w:t>
      </w:r>
      <w:proofErr w:type="spellEnd"/>
      <w:r>
        <w:rPr>
          <w:rFonts w:ascii="Times New Roman" w:eastAsia="Times New Roman" w:hAnsi="Times New Roman" w:cs="Times New Roman"/>
          <w:bCs/>
          <w:sz w:val="24"/>
          <w:szCs w:val="24"/>
          <w:lang w:eastAsia="cs-CZ"/>
        </w:rPr>
        <w:t>, p. 140-141.</w:t>
      </w:r>
    </w:p>
    <w:p w:rsidR="001F59C3" w:rsidRDefault="001F59C3" w:rsidP="001F59C3">
      <w:pPr>
        <w:pStyle w:val="abstractkt"/>
        <w:spacing w:before="0" w:after="120"/>
        <w:rPr>
          <w:b w:val="0"/>
          <w:bCs w:val="0"/>
          <w:caps w:val="0"/>
          <w:sz w:val="24"/>
          <w:szCs w:val="24"/>
          <w:lang w:val="en-GB"/>
        </w:rPr>
      </w:pPr>
      <w:proofErr w:type="spellStart"/>
      <w:r>
        <w:rPr>
          <w:b w:val="0"/>
          <w:bCs w:val="0"/>
          <w:caps w:val="0"/>
          <w:sz w:val="24"/>
          <w:szCs w:val="24"/>
          <w:lang w:val="en-GB"/>
        </w:rPr>
        <w:t>Guedron</w:t>
      </w:r>
      <w:proofErr w:type="spellEnd"/>
      <w:r>
        <w:rPr>
          <w:b w:val="0"/>
          <w:bCs w:val="0"/>
          <w:caps w:val="0"/>
          <w:sz w:val="24"/>
          <w:szCs w:val="24"/>
          <w:lang w:val="en-GB"/>
        </w:rPr>
        <w:t xml:space="preserve"> S., </w:t>
      </w:r>
      <w:proofErr w:type="spellStart"/>
      <w:r>
        <w:rPr>
          <w:b w:val="0"/>
          <w:bCs w:val="0"/>
          <w:caps w:val="0"/>
          <w:sz w:val="24"/>
          <w:szCs w:val="24"/>
          <w:lang w:val="en-GB"/>
        </w:rPr>
        <w:t>Amouroux</w:t>
      </w:r>
      <w:proofErr w:type="spellEnd"/>
      <w:r>
        <w:rPr>
          <w:b w:val="0"/>
          <w:bCs w:val="0"/>
          <w:caps w:val="0"/>
          <w:sz w:val="24"/>
          <w:szCs w:val="24"/>
          <w:lang w:val="en-GB"/>
        </w:rPr>
        <w:t xml:space="preserve"> D., Sabatier P., </w:t>
      </w:r>
      <w:proofErr w:type="spellStart"/>
      <w:r>
        <w:rPr>
          <w:b w:val="0"/>
          <w:bCs w:val="0"/>
          <w:caps w:val="0"/>
          <w:sz w:val="24"/>
          <w:szCs w:val="24"/>
          <w:lang w:val="en-GB"/>
        </w:rPr>
        <w:t>Desplanquee</w:t>
      </w:r>
      <w:proofErr w:type="spellEnd"/>
      <w:r>
        <w:rPr>
          <w:b w:val="0"/>
          <w:bCs w:val="0"/>
          <w:caps w:val="0"/>
          <w:sz w:val="24"/>
          <w:szCs w:val="24"/>
          <w:lang w:val="en-GB"/>
        </w:rPr>
        <w:t xml:space="preserve"> C., </w:t>
      </w:r>
      <w:proofErr w:type="spellStart"/>
      <w:r>
        <w:rPr>
          <w:b w:val="0"/>
          <w:bCs w:val="0"/>
          <w:caps w:val="0"/>
          <w:sz w:val="24"/>
          <w:szCs w:val="24"/>
          <w:lang w:val="en-GB"/>
        </w:rPr>
        <w:t>Develle</w:t>
      </w:r>
      <w:proofErr w:type="spellEnd"/>
      <w:r>
        <w:rPr>
          <w:b w:val="0"/>
          <w:bCs w:val="0"/>
          <w:caps w:val="0"/>
          <w:sz w:val="24"/>
          <w:szCs w:val="24"/>
          <w:lang w:val="en-GB"/>
        </w:rPr>
        <w:t xml:space="preserve"> A.L., Barre J., Feng C.Y., </w:t>
      </w:r>
      <w:proofErr w:type="spellStart"/>
      <w:r>
        <w:rPr>
          <w:b w:val="0"/>
          <w:bCs w:val="0"/>
          <w:caps w:val="0"/>
          <w:sz w:val="24"/>
          <w:szCs w:val="24"/>
          <w:lang w:val="en-GB"/>
        </w:rPr>
        <w:t>Guiter</w:t>
      </w:r>
      <w:proofErr w:type="spellEnd"/>
      <w:r>
        <w:rPr>
          <w:b w:val="0"/>
          <w:bCs w:val="0"/>
          <w:caps w:val="0"/>
          <w:sz w:val="24"/>
          <w:szCs w:val="24"/>
          <w:lang w:val="en-GB"/>
        </w:rPr>
        <w:t xml:space="preserve"> F., </w:t>
      </w:r>
      <w:proofErr w:type="spellStart"/>
      <w:r>
        <w:rPr>
          <w:b w:val="0"/>
          <w:bCs w:val="0"/>
          <w:caps w:val="0"/>
          <w:sz w:val="24"/>
          <w:szCs w:val="24"/>
          <w:lang w:val="en-GB"/>
        </w:rPr>
        <w:t>Amaud</w:t>
      </w:r>
      <w:proofErr w:type="spellEnd"/>
      <w:r>
        <w:rPr>
          <w:b w:val="0"/>
          <w:bCs w:val="0"/>
          <w:caps w:val="0"/>
          <w:sz w:val="24"/>
          <w:szCs w:val="24"/>
          <w:lang w:val="en-GB"/>
        </w:rPr>
        <w:t xml:space="preserve"> F., </w:t>
      </w:r>
      <w:proofErr w:type="spellStart"/>
      <w:proofErr w:type="gramStart"/>
      <w:r>
        <w:rPr>
          <w:b w:val="0"/>
          <w:bCs w:val="0"/>
          <w:caps w:val="0"/>
          <w:sz w:val="24"/>
          <w:szCs w:val="24"/>
          <w:lang w:val="en-GB"/>
        </w:rPr>
        <w:t>Reyss</w:t>
      </w:r>
      <w:proofErr w:type="spellEnd"/>
      <w:proofErr w:type="gramEnd"/>
      <w:r>
        <w:rPr>
          <w:b w:val="0"/>
          <w:bCs w:val="0"/>
          <w:caps w:val="0"/>
          <w:sz w:val="24"/>
          <w:szCs w:val="24"/>
          <w:lang w:val="en-GB"/>
        </w:rPr>
        <w:t xml:space="preserve"> J.L., </w:t>
      </w:r>
      <w:proofErr w:type="spellStart"/>
      <w:r>
        <w:rPr>
          <w:b w:val="0"/>
          <w:bCs w:val="0"/>
          <w:caps w:val="0"/>
          <w:sz w:val="24"/>
          <w:szCs w:val="24"/>
          <w:lang w:val="en-GB"/>
        </w:rPr>
        <w:t>Charlet</w:t>
      </w:r>
      <w:proofErr w:type="spellEnd"/>
      <w:r>
        <w:rPr>
          <w:b w:val="0"/>
          <w:bCs w:val="0"/>
          <w:caps w:val="0"/>
          <w:sz w:val="24"/>
          <w:szCs w:val="24"/>
          <w:lang w:val="en-GB"/>
        </w:rPr>
        <w:t xml:space="preserve"> L. (2016): A hundred year record of industrial and urban development in French Alps combining Hg accumulation rates and isotope composition in sediments archives from Lake </w:t>
      </w:r>
      <w:proofErr w:type="spellStart"/>
      <w:r>
        <w:rPr>
          <w:b w:val="0"/>
          <w:bCs w:val="0"/>
          <w:caps w:val="0"/>
          <w:sz w:val="24"/>
          <w:szCs w:val="24"/>
          <w:lang w:val="en-GB"/>
        </w:rPr>
        <w:t>Luitel</w:t>
      </w:r>
      <w:proofErr w:type="spellEnd"/>
      <w:r>
        <w:rPr>
          <w:b w:val="0"/>
          <w:bCs w:val="0"/>
          <w:caps w:val="0"/>
          <w:sz w:val="24"/>
          <w:szCs w:val="24"/>
          <w:lang w:val="en-GB"/>
        </w:rPr>
        <w:t xml:space="preserve">. Chemical Geology, 431: 10-19.   </w:t>
      </w:r>
    </w:p>
    <w:p w:rsidR="001F59C3" w:rsidRDefault="001F59C3" w:rsidP="001F59C3">
      <w:pPr>
        <w:spacing w:after="120"/>
        <w:rPr>
          <w:rFonts w:ascii="Times New Roman" w:eastAsia="Times New Roman" w:hAnsi="Times New Roman" w:cs="Times New Roman"/>
          <w:sz w:val="24"/>
          <w:szCs w:val="24"/>
          <w:lang w:val="en-GB" w:eastAsia="cs-CZ"/>
        </w:rPr>
      </w:pPr>
      <w:proofErr w:type="spellStart"/>
      <w:r w:rsidRPr="006B2284">
        <w:rPr>
          <w:rFonts w:ascii="Times New Roman" w:eastAsia="Times New Roman" w:hAnsi="Times New Roman" w:cs="Times New Roman"/>
          <w:sz w:val="24"/>
          <w:szCs w:val="24"/>
          <w:lang w:val="en-GB" w:eastAsia="cs-CZ"/>
        </w:rPr>
        <w:t>Guo</w:t>
      </w:r>
      <w:proofErr w:type="spellEnd"/>
      <w:r w:rsidRPr="006B2284">
        <w:rPr>
          <w:rFonts w:ascii="Times New Roman" w:eastAsia="Times New Roman" w:hAnsi="Times New Roman" w:cs="Times New Roman"/>
          <w:sz w:val="24"/>
          <w:szCs w:val="24"/>
          <w:lang w:val="en-GB" w:eastAsia="cs-CZ"/>
        </w:rPr>
        <w:t xml:space="preserve"> Y., George e., </w:t>
      </w:r>
      <w:proofErr w:type="spellStart"/>
      <w:r w:rsidRPr="006B2284">
        <w:rPr>
          <w:rFonts w:ascii="Times New Roman" w:eastAsia="Times New Roman" w:hAnsi="Times New Roman" w:cs="Times New Roman"/>
          <w:sz w:val="24"/>
          <w:szCs w:val="24"/>
          <w:lang w:val="en-GB" w:eastAsia="cs-CZ"/>
        </w:rPr>
        <w:t>Marschner</w:t>
      </w:r>
      <w:proofErr w:type="spellEnd"/>
      <w:r w:rsidRPr="006B2284">
        <w:rPr>
          <w:rFonts w:ascii="Times New Roman" w:eastAsia="Times New Roman" w:hAnsi="Times New Roman" w:cs="Times New Roman"/>
          <w:sz w:val="24"/>
          <w:szCs w:val="24"/>
          <w:lang w:val="en-GB" w:eastAsia="cs-CZ"/>
        </w:rPr>
        <w:t xml:space="preserve"> H. </w:t>
      </w:r>
      <w:r>
        <w:rPr>
          <w:rFonts w:ascii="Times New Roman" w:eastAsia="Times New Roman" w:hAnsi="Times New Roman" w:cs="Times New Roman"/>
          <w:sz w:val="24"/>
          <w:szCs w:val="24"/>
          <w:lang w:val="en-GB" w:eastAsia="cs-CZ"/>
        </w:rPr>
        <w:t>(</w:t>
      </w:r>
      <w:r w:rsidRPr="006B2284">
        <w:rPr>
          <w:rFonts w:ascii="Times New Roman" w:eastAsia="Times New Roman" w:hAnsi="Times New Roman" w:cs="Times New Roman"/>
          <w:sz w:val="24"/>
          <w:szCs w:val="24"/>
          <w:lang w:val="en-GB" w:eastAsia="cs-CZ"/>
        </w:rPr>
        <w:t>1996</w:t>
      </w:r>
      <w:r>
        <w:rPr>
          <w:rFonts w:ascii="Times New Roman" w:eastAsia="Times New Roman" w:hAnsi="Times New Roman" w:cs="Times New Roman"/>
          <w:sz w:val="24"/>
          <w:szCs w:val="24"/>
          <w:lang w:val="en-GB" w:eastAsia="cs-CZ"/>
        </w:rPr>
        <w:t>)</w:t>
      </w:r>
      <w:r w:rsidRPr="006B2284">
        <w:rPr>
          <w:rFonts w:ascii="Times New Roman" w:eastAsia="Times New Roman" w:hAnsi="Times New Roman" w:cs="Times New Roman"/>
          <w:sz w:val="24"/>
          <w:szCs w:val="24"/>
          <w:lang w:val="en-GB" w:eastAsia="cs-CZ"/>
        </w:rPr>
        <w:t xml:space="preserve">: Contribution of an arbuscular mycorrhizal fungus to the uptake of cadmium and nickel in bean and maize plants. Plant and </w:t>
      </w:r>
      <w:proofErr w:type="gramStart"/>
      <w:r w:rsidRPr="006B2284">
        <w:rPr>
          <w:rFonts w:ascii="Times New Roman" w:eastAsia="Times New Roman" w:hAnsi="Times New Roman" w:cs="Times New Roman"/>
          <w:sz w:val="24"/>
          <w:szCs w:val="24"/>
          <w:lang w:val="en-GB" w:eastAsia="cs-CZ"/>
        </w:rPr>
        <w:t>soil ,</w:t>
      </w:r>
      <w:proofErr w:type="gramEnd"/>
      <w:r w:rsidRPr="006B2284">
        <w:rPr>
          <w:rFonts w:ascii="Times New Roman" w:eastAsia="Times New Roman" w:hAnsi="Times New Roman" w:cs="Times New Roman"/>
          <w:sz w:val="24"/>
          <w:szCs w:val="24"/>
          <w:lang w:val="en-GB" w:eastAsia="cs-CZ"/>
        </w:rPr>
        <w:t xml:space="preserve"> 1996, 184</w:t>
      </w:r>
      <w:r>
        <w:rPr>
          <w:rFonts w:ascii="Times New Roman" w:eastAsia="Times New Roman" w:hAnsi="Times New Roman" w:cs="Times New Roman"/>
          <w:sz w:val="24"/>
          <w:szCs w:val="24"/>
          <w:lang w:val="en-GB" w:eastAsia="cs-CZ"/>
        </w:rPr>
        <w:t>: 195-205.</w:t>
      </w:r>
    </w:p>
    <w:p w:rsidR="001F59C3" w:rsidRPr="00936FE2" w:rsidRDefault="001F59C3" w:rsidP="001F59C3">
      <w:pPr>
        <w:spacing w:after="120"/>
        <w:rPr>
          <w:rFonts w:ascii="Times New Roman" w:eastAsia="Times New Roman" w:hAnsi="Times New Roman" w:cs="Times New Roman"/>
          <w:sz w:val="24"/>
          <w:szCs w:val="24"/>
          <w:lang w:val="en-GB" w:eastAsia="cs-CZ"/>
        </w:rPr>
      </w:pPr>
      <w:r w:rsidRPr="00936FE2">
        <w:rPr>
          <w:rFonts w:ascii="Times New Roman" w:eastAsia="Times New Roman" w:hAnsi="Times New Roman" w:cs="Times New Roman"/>
          <w:sz w:val="24"/>
          <w:szCs w:val="24"/>
          <w:lang w:val="en-GB" w:eastAsia="cs-CZ"/>
        </w:rPr>
        <w:t xml:space="preserve">Hall J., Sarin Ch., </w:t>
      </w:r>
      <w:proofErr w:type="spellStart"/>
      <w:proofErr w:type="gramStart"/>
      <w:r w:rsidRPr="00936FE2">
        <w:rPr>
          <w:rFonts w:ascii="Times New Roman" w:eastAsia="Times New Roman" w:hAnsi="Times New Roman" w:cs="Times New Roman"/>
          <w:sz w:val="24"/>
          <w:szCs w:val="24"/>
          <w:lang w:val="en-GB" w:eastAsia="cs-CZ"/>
        </w:rPr>
        <w:t>Cresser</w:t>
      </w:r>
      <w:proofErr w:type="spellEnd"/>
      <w:proofErr w:type="gramEnd"/>
      <w:r w:rsidRPr="00936FE2">
        <w:rPr>
          <w:rFonts w:ascii="Times New Roman" w:eastAsia="Times New Roman" w:hAnsi="Times New Roman" w:cs="Times New Roman"/>
          <w:sz w:val="24"/>
          <w:szCs w:val="24"/>
          <w:lang w:val="en-GB" w:eastAsia="cs-CZ"/>
        </w:rPr>
        <w:t xml:space="preserve"> M., Cotter-Howells J. </w:t>
      </w:r>
      <w:r>
        <w:rPr>
          <w:rFonts w:ascii="Times New Roman" w:eastAsia="Times New Roman" w:hAnsi="Times New Roman" w:cs="Times New Roman"/>
          <w:sz w:val="24"/>
          <w:szCs w:val="24"/>
          <w:lang w:val="en-GB" w:eastAsia="cs-CZ"/>
        </w:rPr>
        <w:t>(</w:t>
      </w:r>
      <w:r w:rsidRPr="00936FE2">
        <w:rPr>
          <w:rFonts w:ascii="Times New Roman" w:eastAsia="Times New Roman" w:hAnsi="Times New Roman" w:cs="Times New Roman"/>
          <w:sz w:val="24"/>
          <w:szCs w:val="24"/>
          <w:lang w:val="en-GB" w:eastAsia="cs-CZ"/>
        </w:rPr>
        <w:t>1999</w:t>
      </w:r>
      <w:r>
        <w:rPr>
          <w:rFonts w:ascii="Times New Roman" w:eastAsia="Times New Roman" w:hAnsi="Times New Roman" w:cs="Times New Roman"/>
          <w:sz w:val="24"/>
          <w:szCs w:val="24"/>
          <w:lang w:val="en-GB" w:eastAsia="cs-CZ"/>
        </w:rPr>
        <w:t>)</w:t>
      </w:r>
      <w:r w:rsidRPr="00936FE2">
        <w:rPr>
          <w:rFonts w:ascii="Times New Roman" w:eastAsia="Times New Roman" w:hAnsi="Times New Roman" w:cs="Times New Roman"/>
          <w:sz w:val="24"/>
          <w:szCs w:val="24"/>
          <w:lang w:val="en-GB" w:eastAsia="cs-CZ"/>
        </w:rPr>
        <w:t>: Correlation of free metal ion activities with toxicity response. 5th International Conference on the Biogeochemistry of Trace Elements, 11.-15. July, Vienna, Austria</w:t>
      </w:r>
      <w:proofErr w:type="gramStart"/>
      <w:r w:rsidRPr="00936FE2">
        <w:rPr>
          <w:rFonts w:ascii="Times New Roman" w:eastAsia="Times New Roman" w:hAnsi="Times New Roman" w:cs="Times New Roman"/>
          <w:sz w:val="24"/>
          <w:szCs w:val="24"/>
          <w:lang w:val="en-GB" w:eastAsia="cs-CZ"/>
        </w:rPr>
        <w:t>,  Proceedings</w:t>
      </w:r>
      <w:proofErr w:type="gramEnd"/>
      <w:r w:rsidRPr="00936FE2">
        <w:rPr>
          <w:rFonts w:ascii="Times New Roman" w:eastAsia="Times New Roman" w:hAnsi="Times New Roman" w:cs="Times New Roman"/>
          <w:sz w:val="24"/>
          <w:szCs w:val="24"/>
          <w:lang w:val="en-GB" w:eastAsia="cs-CZ"/>
        </w:rPr>
        <w:t xml:space="preserve"> of extended abstracts, p. 1122-1123.</w:t>
      </w:r>
    </w:p>
    <w:p w:rsidR="001F59C3" w:rsidRPr="00665FC3" w:rsidRDefault="001F59C3" w:rsidP="001F59C3">
      <w:pPr>
        <w:spacing w:after="120"/>
        <w:rPr>
          <w:rFonts w:ascii="Times New Roman" w:eastAsia="Times New Roman" w:hAnsi="Times New Roman" w:cs="Times New Roman"/>
          <w:sz w:val="24"/>
          <w:szCs w:val="24"/>
          <w:lang w:val="en-GB" w:eastAsia="cs-CZ"/>
        </w:rPr>
      </w:pPr>
      <w:r w:rsidRPr="006B2284">
        <w:rPr>
          <w:rFonts w:ascii="Times New Roman" w:eastAsia="Times New Roman" w:hAnsi="Times New Roman" w:cs="Times New Roman"/>
          <w:sz w:val="24"/>
          <w:szCs w:val="24"/>
          <w:lang w:val="en-GB" w:eastAsia="cs-CZ"/>
        </w:rPr>
        <w:t xml:space="preserve">Hattori H. </w:t>
      </w:r>
      <w:r>
        <w:rPr>
          <w:rFonts w:ascii="Times New Roman" w:eastAsia="Times New Roman" w:hAnsi="Times New Roman" w:cs="Times New Roman"/>
          <w:sz w:val="24"/>
          <w:szCs w:val="24"/>
          <w:lang w:val="en-GB" w:eastAsia="cs-CZ"/>
        </w:rPr>
        <w:t>(</w:t>
      </w:r>
      <w:r w:rsidRPr="006B2284">
        <w:rPr>
          <w:rFonts w:ascii="Times New Roman" w:eastAsia="Times New Roman" w:hAnsi="Times New Roman" w:cs="Times New Roman"/>
          <w:sz w:val="24"/>
          <w:szCs w:val="24"/>
          <w:lang w:val="en-GB" w:eastAsia="cs-CZ"/>
        </w:rPr>
        <w:t>1996</w:t>
      </w:r>
      <w:r>
        <w:rPr>
          <w:rFonts w:ascii="Times New Roman" w:eastAsia="Times New Roman" w:hAnsi="Times New Roman" w:cs="Times New Roman"/>
          <w:sz w:val="24"/>
          <w:szCs w:val="24"/>
          <w:lang w:val="en-GB" w:eastAsia="cs-CZ"/>
        </w:rPr>
        <w:t>)</w:t>
      </w:r>
      <w:r w:rsidRPr="006B2284">
        <w:rPr>
          <w:rFonts w:ascii="Times New Roman" w:eastAsia="Times New Roman" w:hAnsi="Times New Roman" w:cs="Times New Roman"/>
          <w:sz w:val="24"/>
          <w:szCs w:val="24"/>
          <w:lang w:val="en-GB" w:eastAsia="cs-CZ"/>
        </w:rPr>
        <w:t xml:space="preserve">: Differences in the Influence of Cadmium on the Decomposition of Various Types of Organic Materials in Soil. </w:t>
      </w:r>
      <w:r w:rsidRPr="00665FC3">
        <w:rPr>
          <w:rFonts w:ascii="Times New Roman" w:eastAsia="Times New Roman" w:hAnsi="Times New Roman" w:cs="Times New Roman"/>
          <w:sz w:val="24"/>
          <w:szCs w:val="24"/>
          <w:lang w:val="en-GB" w:eastAsia="cs-CZ"/>
        </w:rPr>
        <w:t>Soil Science Plant Nutrition, 1996, 42 (4): 737-743.</w:t>
      </w:r>
    </w:p>
    <w:p w:rsidR="001F59C3" w:rsidRPr="00B94F7E" w:rsidRDefault="001F59C3" w:rsidP="001F59C3">
      <w:pPr>
        <w:spacing w:line="240" w:lineRule="auto"/>
        <w:rPr>
          <w:rFonts w:ascii="Times New Roman" w:hAnsi="Times New Roman" w:cs="Times New Roman"/>
          <w:sz w:val="24"/>
          <w:szCs w:val="24"/>
          <w:lang w:val="en-US"/>
        </w:rPr>
      </w:pPr>
      <w:r w:rsidRPr="003147B6">
        <w:rPr>
          <w:rFonts w:ascii="Times New Roman" w:hAnsi="Times New Roman" w:cs="Times New Roman"/>
          <w:sz w:val="24"/>
          <w:szCs w:val="24"/>
          <w:lang w:val="en-US"/>
        </w:rPr>
        <w:t xml:space="preserve">Hellmann H. (2002): Definitions of background-concentrations-An overview. </w:t>
      </w:r>
      <w:proofErr w:type="spellStart"/>
      <w:r w:rsidRPr="003147B6">
        <w:rPr>
          <w:rFonts w:ascii="Times New Roman" w:hAnsi="Times New Roman" w:cs="Times New Roman"/>
          <w:sz w:val="24"/>
          <w:szCs w:val="24"/>
          <w:lang w:val="en-US"/>
        </w:rPr>
        <w:t>Acta</w:t>
      </w:r>
      <w:proofErr w:type="spellEnd"/>
      <w:r w:rsidRPr="003147B6">
        <w:rPr>
          <w:rFonts w:ascii="Times New Roman" w:hAnsi="Times New Roman" w:cs="Times New Roman"/>
          <w:sz w:val="24"/>
          <w:szCs w:val="24"/>
          <w:lang w:val="en-US"/>
        </w:rPr>
        <w:t xml:space="preserve"> </w:t>
      </w:r>
      <w:proofErr w:type="spellStart"/>
      <w:r w:rsidRPr="003147B6">
        <w:rPr>
          <w:rFonts w:ascii="Times New Roman" w:hAnsi="Times New Roman" w:cs="Times New Roman"/>
          <w:sz w:val="24"/>
          <w:szCs w:val="24"/>
          <w:lang w:val="en-US"/>
        </w:rPr>
        <w:t>Hydrochimica</w:t>
      </w:r>
      <w:proofErr w:type="spellEnd"/>
      <w:r w:rsidRPr="003147B6">
        <w:rPr>
          <w:rFonts w:ascii="Times New Roman" w:hAnsi="Times New Roman" w:cs="Times New Roman"/>
          <w:sz w:val="24"/>
          <w:szCs w:val="24"/>
          <w:lang w:val="en-US"/>
        </w:rPr>
        <w:t xml:space="preserve"> </w:t>
      </w:r>
      <w:proofErr w:type="gramStart"/>
      <w:r w:rsidRPr="003147B6">
        <w:rPr>
          <w:rFonts w:ascii="Times New Roman" w:hAnsi="Times New Roman" w:cs="Times New Roman"/>
          <w:sz w:val="24"/>
          <w:szCs w:val="24"/>
          <w:lang w:val="en-US"/>
        </w:rPr>
        <w:t>et</w:t>
      </w:r>
      <w:proofErr w:type="gramEnd"/>
      <w:r w:rsidRPr="003147B6">
        <w:rPr>
          <w:rFonts w:ascii="Times New Roman" w:hAnsi="Times New Roman" w:cs="Times New Roman"/>
          <w:sz w:val="24"/>
          <w:szCs w:val="24"/>
          <w:lang w:val="en-US"/>
        </w:rPr>
        <w:t xml:space="preserve"> </w:t>
      </w:r>
      <w:proofErr w:type="spellStart"/>
      <w:r w:rsidRPr="003147B6">
        <w:rPr>
          <w:rFonts w:ascii="Times New Roman" w:hAnsi="Times New Roman" w:cs="Times New Roman"/>
          <w:sz w:val="24"/>
          <w:szCs w:val="24"/>
          <w:lang w:val="en-US"/>
        </w:rPr>
        <w:t>Hydrobiologica</w:t>
      </w:r>
      <w:proofErr w:type="spellEnd"/>
      <w:r w:rsidRPr="003147B6">
        <w:rPr>
          <w:rFonts w:ascii="Times New Roman" w:hAnsi="Times New Roman" w:cs="Times New Roman"/>
          <w:sz w:val="24"/>
          <w:szCs w:val="24"/>
          <w:lang w:val="en-US"/>
        </w:rPr>
        <w:t xml:space="preserve">, </w:t>
      </w:r>
      <w:r w:rsidRPr="003147B6">
        <w:rPr>
          <w:rFonts w:ascii="Times New Roman" w:hAnsi="Times New Roman" w:cs="Times New Roman"/>
          <w:i/>
          <w:sz w:val="24"/>
          <w:szCs w:val="24"/>
          <w:lang w:val="en-US"/>
        </w:rPr>
        <w:t>29</w:t>
      </w:r>
      <w:r w:rsidRPr="003147B6">
        <w:rPr>
          <w:rFonts w:ascii="Times New Roman" w:hAnsi="Times New Roman" w:cs="Times New Roman"/>
          <w:sz w:val="24"/>
          <w:szCs w:val="24"/>
          <w:lang w:val="en-US"/>
        </w:rPr>
        <w:t>: 391-398.</w:t>
      </w:r>
    </w:p>
    <w:p w:rsidR="001F59C3" w:rsidRPr="00665FC3" w:rsidRDefault="001F59C3" w:rsidP="001F59C3">
      <w:pPr>
        <w:spacing w:after="120"/>
        <w:rPr>
          <w:rFonts w:ascii="Times New Roman" w:eastAsia="Times New Roman" w:hAnsi="Times New Roman" w:cs="Times New Roman"/>
          <w:sz w:val="24"/>
          <w:szCs w:val="24"/>
          <w:lang w:val="en-GB" w:eastAsia="cs-CZ"/>
        </w:rPr>
      </w:pPr>
      <w:proofErr w:type="spellStart"/>
      <w:r w:rsidRPr="00665FC3">
        <w:rPr>
          <w:rFonts w:ascii="Times New Roman" w:eastAsia="Times New Roman" w:hAnsi="Times New Roman" w:cs="Times New Roman"/>
          <w:sz w:val="24"/>
          <w:szCs w:val="24"/>
          <w:lang w:val="en-GB" w:eastAsia="cs-CZ"/>
        </w:rPr>
        <w:t>Helal</w:t>
      </w:r>
      <w:proofErr w:type="spellEnd"/>
      <w:r w:rsidRPr="00665FC3">
        <w:rPr>
          <w:rFonts w:ascii="Times New Roman" w:eastAsia="Times New Roman" w:hAnsi="Times New Roman" w:cs="Times New Roman"/>
          <w:sz w:val="24"/>
          <w:szCs w:val="24"/>
          <w:lang w:val="en-GB" w:eastAsia="cs-CZ"/>
        </w:rPr>
        <w:t xml:space="preserve"> H. M., </w:t>
      </w:r>
      <w:proofErr w:type="spellStart"/>
      <w:r w:rsidRPr="00665FC3">
        <w:rPr>
          <w:rFonts w:ascii="Times New Roman" w:eastAsia="Times New Roman" w:hAnsi="Times New Roman" w:cs="Times New Roman"/>
          <w:sz w:val="24"/>
          <w:szCs w:val="24"/>
          <w:lang w:val="en-GB" w:eastAsia="cs-CZ"/>
        </w:rPr>
        <w:t>Issa</w:t>
      </w:r>
      <w:proofErr w:type="spellEnd"/>
      <w:r w:rsidRPr="00665FC3">
        <w:rPr>
          <w:rFonts w:ascii="Times New Roman" w:eastAsia="Times New Roman" w:hAnsi="Times New Roman" w:cs="Times New Roman"/>
          <w:sz w:val="24"/>
          <w:szCs w:val="24"/>
          <w:lang w:val="en-GB" w:eastAsia="cs-CZ"/>
        </w:rPr>
        <w:t xml:space="preserve"> G. I. </w:t>
      </w:r>
      <w:r>
        <w:rPr>
          <w:rFonts w:ascii="Times New Roman" w:eastAsia="Times New Roman" w:hAnsi="Times New Roman" w:cs="Times New Roman"/>
          <w:sz w:val="24"/>
          <w:szCs w:val="24"/>
          <w:lang w:val="en-GB" w:eastAsia="cs-CZ"/>
        </w:rPr>
        <w:t>(</w:t>
      </w:r>
      <w:r w:rsidRPr="00665FC3">
        <w:rPr>
          <w:rFonts w:ascii="Times New Roman" w:eastAsia="Times New Roman" w:hAnsi="Times New Roman" w:cs="Times New Roman"/>
          <w:sz w:val="24"/>
          <w:szCs w:val="24"/>
          <w:lang w:val="en-GB" w:eastAsia="cs-CZ"/>
        </w:rPr>
        <w:t>1999</w:t>
      </w:r>
      <w:r>
        <w:rPr>
          <w:rFonts w:ascii="Times New Roman" w:eastAsia="Times New Roman" w:hAnsi="Times New Roman" w:cs="Times New Roman"/>
          <w:sz w:val="24"/>
          <w:szCs w:val="24"/>
          <w:lang w:val="en-GB" w:eastAsia="cs-CZ"/>
        </w:rPr>
        <w:t>)</w:t>
      </w:r>
      <w:r w:rsidRPr="00665FC3">
        <w:rPr>
          <w:rFonts w:ascii="Times New Roman" w:eastAsia="Times New Roman" w:hAnsi="Times New Roman" w:cs="Times New Roman"/>
          <w:sz w:val="24"/>
          <w:szCs w:val="24"/>
          <w:lang w:val="en-GB" w:eastAsia="cs-CZ"/>
        </w:rPr>
        <w:t xml:space="preserve">: Uptake of Zn and Cu by mycorrhizal </w:t>
      </w:r>
      <w:proofErr w:type="spellStart"/>
      <w:r w:rsidRPr="00665FC3">
        <w:rPr>
          <w:rFonts w:ascii="Times New Roman" w:eastAsia="Times New Roman" w:hAnsi="Times New Roman" w:cs="Times New Roman"/>
          <w:sz w:val="24"/>
          <w:szCs w:val="24"/>
          <w:lang w:val="en-GB" w:eastAsia="cs-CZ"/>
        </w:rPr>
        <w:t>Leucaena</w:t>
      </w:r>
      <w:proofErr w:type="spellEnd"/>
      <w:r w:rsidRPr="00665FC3">
        <w:rPr>
          <w:rFonts w:ascii="Times New Roman" w:eastAsia="Times New Roman" w:hAnsi="Times New Roman" w:cs="Times New Roman"/>
          <w:sz w:val="24"/>
          <w:szCs w:val="24"/>
          <w:lang w:val="en-GB" w:eastAsia="cs-CZ"/>
        </w:rPr>
        <w:t xml:space="preserve"> </w:t>
      </w:r>
      <w:proofErr w:type="spellStart"/>
      <w:r w:rsidRPr="00665FC3">
        <w:rPr>
          <w:rFonts w:ascii="Times New Roman" w:eastAsia="Times New Roman" w:hAnsi="Times New Roman" w:cs="Times New Roman"/>
          <w:sz w:val="24"/>
          <w:szCs w:val="24"/>
          <w:lang w:val="en-GB" w:eastAsia="cs-CZ"/>
        </w:rPr>
        <w:t>leucocephala</w:t>
      </w:r>
      <w:proofErr w:type="spellEnd"/>
      <w:r w:rsidRPr="00665FC3">
        <w:rPr>
          <w:rFonts w:ascii="Times New Roman" w:eastAsia="Times New Roman" w:hAnsi="Times New Roman" w:cs="Times New Roman"/>
          <w:sz w:val="24"/>
          <w:szCs w:val="24"/>
          <w:lang w:val="en-GB" w:eastAsia="cs-CZ"/>
        </w:rPr>
        <w:t xml:space="preserve"> from heavy metal polluted soil under greenhouse and field conditions of the </w:t>
      </w:r>
      <w:proofErr w:type="spellStart"/>
      <w:r w:rsidRPr="00665FC3">
        <w:rPr>
          <w:rFonts w:ascii="Times New Roman" w:eastAsia="Times New Roman" w:hAnsi="Times New Roman" w:cs="Times New Roman"/>
          <w:sz w:val="24"/>
          <w:szCs w:val="24"/>
          <w:lang w:val="en-GB" w:eastAsia="cs-CZ"/>
        </w:rPr>
        <w:t>Nahda</w:t>
      </w:r>
      <w:proofErr w:type="spellEnd"/>
      <w:r w:rsidRPr="00665FC3">
        <w:rPr>
          <w:rFonts w:ascii="Times New Roman" w:eastAsia="Times New Roman" w:hAnsi="Times New Roman" w:cs="Times New Roman"/>
          <w:sz w:val="24"/>
          <w:szCs w:val="24"/>
          <w:lang w:val="en-GB" w:eastAsia="cs-CZ"/>
        </w:rPr>
        <w:t xml:space="preserve"> region of Egypt. 5th International Conference on the Biogeochemistry of Trace Elements, 11.-15. July, Vienna, Austria</w:t>
      </w:r>
      <w:proofErr w:type="gramStart"/>
      <w:r w:rsidRPr="00665FC3">
        <w:rPr>
          <w:rFonts w:ascii="Times New Roman" w:eastAsia="Times New Roman" w:hAnsi="Times New Roman" w:cs="Times New Roman"/>
          <w:sz w:val="24"/>
          <w:szCs w:val="24"/>
          <w:lang w:val="en-GB" w:eastAsia="cs-CZ"/>
        </w:rPr>
        <w:t>,  Proceedings</w:t>
      </w:r>
      <w:proofErr w:type="gramEnd"/>
      <w:r w:rsidRPr="00665FC3">
        <w:rPr>
          <w:rFonts w:ascii="Times New Roman" w:eastAsia="Times New Roman" w:hAnsi="Times New Roman" w:cs="Times New Roman"/>
          <w:sz w:val="24"/>
          <w:szCs w:val="24"/>
          <w:lang w:val="en-GB" w:eastAsia="cs-CZ"/>
        </w:rPr>
        <w:t xml:space="preserve"> of extended abstracts, 184-185.</w:t>
      </w:r>
    </w:p>
    <w:p w:rsidR="001F59C3" w:rsidRPr="00B94F7E" w:rsidRDefault="001F59C3" w:rsidP="001F59C3">
      <w:pPr>
        <w:rPr>
          <w:rFonts w:ascii="Times New Roman" w:hAnsi="Times New Roman" w:cs="Times New Roman"/>
          <w:sz w:val="24"/>
        </w:rPr>
      </w:pPr>
      <w:r w:rsidRPr="00F91419">
        <w:rPr>
          <w:rFonts w:ascii="Times New Roman" w:hAnsi="Times New Roman" w:cs="Times New Roman"/>
          <w:sz w:val="24"/>
        </w:rPr>
        <w:t xml:space="preserve">Holoubek I., Adamec V., Bartoš M., Černá M., Čupr P., Bláha K, Bláha L., </w:t>
      </w:r>
      <w:proofErr w:type="spellStart"/>
      <w:r w:rsidRPr="00F91419">
        <w:rPr>
          <w:rFonts w:ascii="Times New Roman" w:hAnsi="Times New Roman" w:cs="Times New Roman"/>
          <w:sz w:val="24"/>
        </w:rPr>
        <w:t>Demnerová</w:t>
      </w:r>
      <w:proofErr w:type="spellEnd"/>
      <w:r w:rsidRPr="00F91419">
        <w:rPr>
          <w:rFonts w:ascii="Times New Roman" w:hAnsi="Times New Roman" w:cs="Times New Roman"/>
          <w:sz w:val="24"/>
        </w:rPr>
        <w:t xml:space="preserve"> K., Drápal J., Hajšlová J., Holoubková I., Jech L., Klánová J., Kohoutek J., </w:t>
      </w:r>
      <w:proofErr w:type="spellStart"/>
      <w:r w:rsidRPr="00F91419">
        <w:rPr>
          <w:rFonts w:ascii="Times New Roman" w:hAnsi="Times New Roman" w:cs="Times New Roman"/>
          <w:sz w:val="24"/>
        </w:rPr>
        <w:t>Kužílek</w:t>
      </w:r>
      <w:proofErr w:type="spellEnd"/>
      <w:r w:rsidRPr="00F91419">
        <w:rPr>
          <w:rFonts w:ascii="Times New Roman" w:hAnsi="Times New Roman" w:cs="Times New Roman"/>
          <w:sz w:val="24"/>
        </w:rPr>
        <w:t xml:space="preserve"> V., Machálek P., Matějů V., Matoušek J., Matoušek M., Mejstřík V., Novák J., Ocelka T., Pekárek V., </w:t>
      </w:r>
      <w:proofErr w:type="spellStart"/>
      <w:r w:rsidRPr="00F91419">
        <w:rPr>
          <w:rFonts w:ascii="Times New Roman" w:hAnsi="Times New Roman" w:cs="Times New Roman"/>
          <w:sz w:val="24"/>
        </w:rPr>
        <w:t>Petira</w:t>
      </w:r>
      <w:proofErr w:type="spellEnd"/>
      <w:r w:rsidRPr="00F91419">
        <w:rPr>
          <w:rFonts w:ascii="Times New Roman" w:hAnsi="Times New Roman" w:cs="Times New Roman"/>
          <w:sz w:val="24"/>
        </w:rPr>
        <w:t xml:space="preserve"> O., Punčochář M., </w:t>
      </w:r>
      <w:proofErr w:type="spellStart"/>
      <w:r w:rsidRPr="00F91419">
        <w:rPr>
          <w:rFonts w:ascii="Times New Roman" w:hAnsi="Times New Roman" w:cs="Times New Roman"/>
          <w:sz w:val="24"/>
        </w:rPr>
        <w:t>Rieder</w:t>
      </w:r>
      <w:proofErr w:type="spellEnd"/>
      <w:r w:rsidRPr="00F91419">
        <w:rPr>
          <w:rFonts w:ascii="Times New Roman" w:hAnsi="Times New Roman" w:cs="Times New Roman"/>
          <w:sz w:val="24"/>
        </w:rPr>
        <w:t xml:space="preserve"> M., </w:t>
      </w:r>
      <w:proofErr w:type="spellStart"/>
      <w:r w:rsidRPr="00F91419">
        <w:rPr>
          <w:rFonts w:ascii="Times New Roman" w:hAnsi="Times New Roman" w:cs="Times New Roman"/>
          <w:sz w:val="24"/>
        </w:rPr>
        <w:t>Ruprich</w:t>
      </w:r>
      <w:proofErr w:type="spellEnd"/>
      <w:r w:rsidRPr="00F91419">
        <w:rPr>
          <w:rFonts w:ascii="Times New Roman" w:hAnsi="Times New Roman" w:cs="Times New Roman"/>
          <w:sz w:val="24"/>
        </w:rPr>
        <w:t xml:space="preserve"> J., Sáňka M., Vácha R., </w:t>
      </w:r>
      <w:proofErr w:type="spellStart"/>
      <w:r w:rsidRPr="00F91419">
        <w:rPr>
          <w:rFonts w:ascii="Times New Roman" w:hAnsi="Times New Roman" w:cs="Times New Roman"/>
          <w:sz w:val="24"/>
        </w:rPr>
        <w:t>Zbíral</w:t>
      </w:r>
      <w:proofErr w:type="spellEnd"/>
      <w:r w:rsidRPr="00F91419">
        <w:rPr>
          <w:rFonts w:ascii="Times New Roman" w:hAnsi="Times New Roman" w:cs="Times New Roman"/>
          <w:sz w:val="24"/>
        </w:rPr>
        <w:t xml:space="preserve"> J.</w:t>
      </w:r>
      <w:r w:rsidRPr="00F91419">
        <w:rPr>
          <w:rFonts w:ascii="Times New Roman" w:hAnsi="Times New Roman" w:cs="Times New Roman"/>
          <w:caps/>
          <w:sz w:val="24"/>
        </w:rPr>
        <w:t xml:space="preserve"> (2002): </w:t>
      </w:r>
      <w:r w:rsidRPr="00F91419">
        <w:rPr>
          <w:rFonts w:ascii="Times New Roman" w:hAnsi="Times New Roman" w:cs="Times New Roman"/>
          <w:sz w:val="24"/>
        </w:rPr>
        <w:t xml:space="preserve">Úvodní národní inventura persistentních organických polutantů v České republice. Project GF/CEH/01/003: </w:t>
      </w:r>
      <w:proofErr w:type="spellStart"/>
      <w:r w:rsidRPr="00F91419">
        <w:rPr>
          <w:rFonts w:ascii="Times New Roman" w:hAnsi="Times New Roman" w:cs="Times New Roman"/>
          <w:sz w:val="24"/>
        </w:rPr>
        <w:t>Enabling</w:t>
      </w:r>
      <w:proofErr w:type="spellEnd"/>
      <w:r w:rsidRPr="00F91419">
        <w:rPr>
          <w:rFonts w:ascii="Times New Roman" w:hAnsi="Times New Roman" w:cs="Times New Roman"/>
          <w:sz w:val="24"/>
        </w:rPr>
        <w:t xml:space="preserve"> </w:t>
      </w:r>
      <w:proofErr w:type="spellStart"/>
      <w:r w:rsidRPr="00F91419">
        <w:rPr>
          <w:rFonts w:ascii="Times New Roman" w:hAnsi="Times New Roman" w:cs="Times New Roman"/>
          <w:sz w:val="24"/>
        </w:rPr>
        <w:t>Activities</w:t>
      </w:r>
      <w:proofErr w:type="spellEnd"/>
      <w:r w:rsidRPr="00F91419">
        <w:rPr>
          <w:rFonts w:ascii="Times New Roman" w:hAnsi="Times New Roman" w:cs="Times New Roman"/>
          <w:sz w:val="24"/>
        </w:rPr>
        <w:t xml:space="preserve"> to </w:t>
      </w:r>
      <w:proofErr w:type="spellStart"/>
      <w:r w:rsidRPr="00F91419">
        <w:rPr>
          <w:rFonts w:ascii="Times New Roman" w:hAnsi="Times New Roman" w:cs="Times New Roman"/>
          <w:sz w:val="24"/>
        </w:rPr>
        <w:t>Facilitate</w:t>
      </w:r>
      <w:proofErr w:type="spellEnd"/>
      <w:r w:rsidRPr="00F91419">
        <w:rPr>
          <w:rFonts w:ascii="Times New Roman" w:hAnsi="Times New Roman" w:cs="Times New Roman"/>
          <w:sz w:val="24"/>
        </w:rPr>
        <w:t xml:space="preserve"> Early </w:t>
      </w:r>
      <w:proofErr w:type="spellStart"/>
      <w:r w:rsidRPr="00F91419">
        <w:rPr>
          <w:rFonts w:ascii="Times New Roman" w:hAnsi="Times New Roman" w:cs="Times New Roman"/>
          <w:sz w:val="24"/>
        </w:rPr>
        <w:t>Action</w:t>
      </w:r>
      <w:proofErr w:type="spellEnd"/>
      <w:r w:rsidRPr="00F91419">
        <w:rPr>
          <w:rFonts w:ascii="Times New Roman" w:hAnsi="Times New Roman" w:cs="Times New Roman"/>
          <w:sz w:val="24"/>
        </w:rPr>
        <w:t xml:space="preserve"> on </w:t>
      </w:r>
      <w:proofErr w:type="spellStart"/>
      <w:r w:rsidRPr="00F91419">
        <w:rPr>
          <w:rFonts w:ascii="Times New Roman" w:hAnsi="Times New Roman" w:cs="Times New Roman"/>
          <w:sz w:val="24"/>
        </w:rPr>
        <w:t>the</w:t>
      </w:r>
      <w:proofErr w:type="spellEnd"/>
      <w:r w:rsidRPr="00F91419">
        <w:rPr>
          <w:rFonts w:ascii="Times New Roman" w:hAnsi="Times New Roman" w:cs="Times New Roman"/>
          <w:sz w:val="24"/>
        </w:rPr>
        <w:t xml:space="preserve"> </w:t>
      </w:r>
      <w:proofErr w:type="spellStart"/>
      <w:r w:rsidRPr="00F91419">
        <w:rPr>
          <w:rFonts w:ascii="Times New Roman" w:hAnsi="Times New Roman" w:cs="Times New Roman"/>
          <w:sz w:val="24"/>
        </w:rPr>
        <w:t>Implemetation</w:t>
      </w:r>
      <w:proofErr w:type="spellEnd"/>
      <w:r w:rsidRPr="00F91419">
        <w:rPr>
          <w:rFonts w:ascii="Times New Roman" w:hAnsi="Times New Roman" w:cs="Times New Roman"/>
          <w:sz w:val="24"/>
        </w:rPr>
        <w:t xml:space="preserve"> </w:t>
      </w:r>
      <w:proofErr w:type="spellStart"/>
      <w:r w:rsidRPr="00F91419">
        <w:rPr>
          <w:rFonts w:ascii="Times New Roman" w:hAnsi="Times New Roman" w:cs="Times New Roman"/>
          <w:sz w:val="24"/>
        </w:rPr>
        <w:t>of</w:t>
      </w:r>
      <w:proofErr w:type="spellEnd"/>
      <w:r w:rsidRPr="00F91419">
        <w:rPr>
          <w:rFonts w:ascii="Times New Roman" w:hAnsi="Times New Roman" w:cs="Times New Roman"/>
          <w:sz w:val="24"/>
        </w:rPr>
        <w:t xml:space="preserve"> </w:t>
      </w:r>
      <w:proofErr w:type="spellStart"/>
      <w:r w:rsidRPr="00F91419">
        <w:rPr>
          <w:rFonts w:ascii="Times New Roman" w:hAnsi="Times New Roman" w:cs="Times New Roman"/>
          <w:sz w:val="24"/>
        </w:rPr>
        <w:t>the</w:t>
      </w:r>
      <w:proofErr w:type="spellEnd"/>
      <w:r w:rsidRPr="00F91419">
        <w:rPr>
          <w:rFonts w:ascii="Times New Roman" w:hAnsi="Times New Roman" w:cs="Times New Roman"/>
          <w:sz w:val="24"/>
        </w:rPr>
        <w:t xml:space="preserve"> Stockholm </w:t>
      </w:r>
      <w:proofErr w:type="spellStart"/>
      <w:r w:rsidRPr="00F91419">
        <w:rPr>
          <w:rFonts w:ascii="Times New Roman" w:hAnsi="Times New Roman" w:cs="Times New Roman"/>
          <w:sz w:val="24"/>
        </w:rPr>
        <w:t>Convention</w:t>
      </w:r>
      <w:proofErr w:type="spellEnd"/>
      <w:r w:rsidRPr="00F91419">
        <w:rPr>
          <w:rFonts w:ascii="Times New Roman" w:hAnsi="Times New Roman" w:cs="Times New Roman"/>
          <w:sz w:val="24"/>
        </w:rPr>
        <w:t xml:space="preserve"> </w:t>
      </w:r>
      <w:proofErr w:type="spellStart"/>
      <w:r w:rsidRPr="00F91419">
        <w:rPr>
          <w:rFonts w:ascii="Times New Roman" w:hAnsi="Times New Roman" w:cs="Times New Roman"/>
          <w:sz w:val="24"/>
        </w:rPr>
        <w:t>Persistent</w:t>
      </w:r>
      <w:proofErr w:type="spellEnd"/>
      <w:r w:rsidRPr="00F91419">
        <w:rPr>
          <w:rFonts w:ascii="Times New Roman" w:hAnsi="Times New Roman" w:cs="Times New Roman"/>
          <w:sz w:val="24"/>
        </w:rPr>
        <w:t xml:space="preserve"> </w:t>
      </w:r>
      <w:proofErr w:type="spellStart"/>
      <w:r w:rsidRPr="00F91419">
        <w:rPr>
          <w:rFonts w:ascii="Times New Roman" w:hAnsi="Times New Roman" w:cs="Times New Roman"/>
          <w:sz w:val="24"/>
        </w:rPr>
        <w:t>Or</w:t>
      </w:r>
      <w:r>
        <w:rPr>
          <w:rFonts w:ascii="Times New Roman" w:hAnsi="Times New Roman" w:cs="Times New Roman"/>
          <w:sz w:val="24"/>
        </w:rPr>
        <w:t>ganic</w:t>
      </w:r>
      <w:proofErr w:type="spellEnd"/>
      <w:r>
        <w:rPr>
          <w:rFonts w:ascii="Times New Roman" w:hAnsi="Times New Roman" w:cs="Times New Roman"/>
          <w:sz w:val="24"/>
        </w:rPr>
        <w:t xml:space="preserve"> </w:t>
      </w:r>
      <w:proofErr w:type="spellStart"/>
      <w:r>
        <w:rPr>
          <w:rFonts w:ascii="Times New Roman" w:hAnsi="Times New Roman" w:cs="Times New Roman"/>
          <w:sz w:val="24"/>
        </w:rPr>
        <w:t>Pollutants</w:t>
      </w:r>
      <w:proofErr w:type="spellEnd"/>
      <w:r>
        <w:rPr>
          <w:rFonts w:ascii="Times New Roman" w:hAnsi="Times New Roman" w:cs="Times New Roman"/>
          <w:sz w:val="24"/>
        </w:rPr>
        <w:t xml:space="preserve"> (</w:t>
      </w:r>
      <w:proofErr w:type="spellStart"/>
      <w:r>
        <w:rPr>
          <w:rFonts w:ascii="Times New Roman" w:hAnsi="Times New Roman" w:cs="Times New Roman"/>
          <w:sz w:val="24"/>
        </w:rPr>
        <w:t>POPs</w:t>
      </w:r>
      <w:proofErr w:type="spellEnd"/>
      <w:r>
        <w:rPr>
          <w:rFonts w:ascii="Times New Roman" w:hAnsi="Times New Roman" w:cs="Times New Roman"/>
          <w:sz w:val="24"/>
        </w:rPr>
        <w:t xml:space="preserve">) in </w:t>
      </w:r>
      <w:proofErr w:type="spellStart"/>
      <w:r>
        <w:rPr>
          <w:rFonts w:ascii="Times New Roman" w:hAnsi="Times New Roman" w:cs="Times New Roman"/>
          <w:sz w:val="24"/>
        </w:rPr>
        <w:t>the</w:t>
      </w:r>
      <w:proofErr w:type="spellEnd"/>
      <w:r>
        <w:rPr>
          <w:rFonts w:ascii="Times New Roman" w:hAnsi="Times New Roman" w:cs="Times New Roman"/>
          <w:sz w:val="24"/>
        </w:rPr>
        <w:t xml:space="preserve"> C</w:t>
      </w:r>
      <w:r w:rsidRPr="00F91419">
        <w:rPr>
          <w:rFonts w:ascii="Times New Roman" w:hAnsi="Times New Roman" w:cs="Times New Roman"/>
          <w:sz w:val="24"/>
        </w:rPr>
        <w:t xml:space="preserve">zech Republic. </w:t>
      </w:r>
      <w:r>
        <w:rPr>
          <w:rFonts w:ascii="Times New Roman" w:hAnsi="Times New Roman" w:cs="Times New Roman"/>
          <w:sz w:val="24"/>
        </w:rPr>
        <w:t xml:space="preserve">745 p. </w:t>
      </w:r>
    </w:p>
    <w:p w:rsidR="001F59C3" w:rsidRPr="007A7F73" w:rsidRDefault="001F59C3" w:rsidP="001F59C3">
      <w:pPr>
        <w:spacing w:after="120"/>
        <w:rPr>
          <w:rFonts w:ascii="Times New Roman" w:eastAsia="Times New Roman" w:hAnsi="Times New Roman" w:cs="Times New Roman"/>
          <w:sz w:val="24"/>
          <w:szCs w:val="24"/>
          <w:lang w:val="en-GB" w:eastAsia="cs-CZ"/>
        </w:rPr>
      </w:pPr>
      <w:proofErr w:type="spellStart"/>
      <w:r w:rsidRPr="00FF0C06">
        <w:rPr>
          <w:rFonts w:ascii="Times New Roman" w:eastAsia="Times New Roman" w:hAnsi="Times New Roman" w:cs="Times New Roman"/>
          <w:sz w:val="24"/>
          <w:szCs w:val="24"/>
          <w:lang w:val="de-DE" w:eastAsia="cs-CZ"/>
        </w:rPr>
        <w:t>Hornburg</w:t>
      </w:r>
      <w:proofErr w:type="spellEnd"/>
      <w:r w:rsidRPr="00FF0C06">
        <w:rPr>
          <w:rFonts w:ascii="Times New Roman" w:eastAsia="Times New Roman" w:hAnsi="Times New Roman" w:cs="Times New Roman"/>
          <w:sz w:val="24"/>
          <w:szCs w:val="24"/>
          <w:lang w:val="de-DE" w:eastAsia="cs-CZ"/>
        </w:rPr>
        <w:t xml:space="preserve"> V., Brümmer G. W. </w:t>
      </w:r>
      <w:r>
        <w:rPr>
          <w:rFonts w:ascii="Times New Roman" w:eastAsia="Times New Roman" w:hAnsi="Times New Roman" w:cs="Times New Roman"/>
          <w:sz w:val="24"/>
          <w:szCs w:val="24"/>
          <w:lang w:val="de-DE" w:eastAsia="cs-CZ"/>
        </w:rPr>
        <w:t>(</w:t>
      </w:r>
      <w:r w:rsidRPr="00FF0C06">
        <w:rPr>
          <w:rFonts w:ascii="Times New Roman" w:eastAsia="Times New Roman" w:hAnsi="Times New Roman" w:cs="Times New Roman"/>
          <w:sz w:val="24"/>
          <w:szCs w:val="24"/>
          <w:lang w:val="de-DE" w:eastAsia="cs-CZ"/>
        </w:rPr>
        <w:t>1990</w:t>
      </w:r>
      <w:r>
        <w:rPr>
          <w:rFonts w:ascii="Times New Roman" w:eastAsia="Times New Roman" w:hAnsi="Times New Roman" w:cs="Times New Roman"/>
          <w:sz w:val="24"/>
          <w:szCs w:val="24"/>
          <w:lang w:val="de-DE" w:eastAsia="cs-CZ"/>
        </w:rPr>
        <w:t>)</w:t>
      </w:r>
      <w:r w:rsidRPr="00FF0C06">
        <w:rPr>
          <w:rFonts w:ascii="Times New Roman" w:eastAsia="Times New Roman" w:hAnsi="Times New Roman" w:cs="Times New Roman"/>
          <w:sz w:val="24"/>
          <w:szCs w:val="24"/>
          <w:lang w:val="de-DE" w:eastAsia="cs-CZ"/>
        </w:rPr>
        <w:t xml:space="preserve">: Schwermetall-Verfügbarkeit in Böden und Gehalte im Weizenkorn und in anderen Pflanzen. </w:t>
      </w:r>
      <w:r w:rsidRPr="00FF0C06">
        <w:rPr>
          <w:rFonts w:ascii="Times New Roman" w:eastAsia="Times New Roman" w:hAnsi="Times New Roman" w:cs="Times New Roman"/>
          <w:sz w:val="24"/>
          <w:szCs w:val="24"/>
          <w:lang w:val="en-GB" w:eastAsia="cs-CZ"/>
        </w:rPr>
        <w:t xml:space="preserve">In </w:t>
      </w:r>
      <w:proofErr w:type="spellStart"/>
      <w:r w:rsidRPr="00FF0C06">
        <w:rPr>
          <w:rFonts w:ascii="Times New Roman" w:eastAsia="Times New Roman" w:hAnsi="Times New Roman" w:cs="Times New Roman"/>
          <w:sz w:val="24"/>
          <w:szCs w:val="24"/>
          <w:lang w:val="en-GB" w:eastAsia="cs-CZ"/>
        </w:rPr>
        <w:t>Podlešáková</w:t>
      </w:r>
      <w:proofErr w:type="spellEnd"/>
      <w:r w:rsidRPr="00FF0C06">
        <w:rPr>
          <w:rFonts w:ascii="Times New Roman" w:eastAsia="Times New Roman" w:hAnsi="Times New Roman" w:cs="Times New Roman"/>
          <w:sz w:val="24"/>
          <w:szCs w:val="24"/>
          <w:lang w:val="en-GB" w:eastAsia="cs-CZ"/>
        </w:rPr>
        <w:t xml:space="preserve">, E.  </w:t>
      </w:r>
      <w:proofErr w:type="gramStart"/>
      <w:r w:rsidRPr="00FF0C06">
        <w:rPr>
          <w:rFonts w:ascii="Times New Roman" w:eastAsia="Times New Roman" w:hAnsi="Times New Roman" w:cs="Times New Roman"/>
          <w:sz w:val="24"/>
          <w:szCs w:val="24"/>
          <w:lang w:val="en-GB" w:eastAsia="cs-CZ"/>
        </w:rPr>
        <w:t>et</w:t>
      </w:r>
      <w:proofErr w:type="gramEnd"/>
      <w:r w:rsidRPr="00FF0C06">
        <w:rPr>
          <w:rFonts w:ascii="Times New Roman" w:eastAsia="Times New Roman" w:hAnsi="Times New Roman" w:cs="Times New Roman"/>
          <w:sz w:val="24"/>
          <w:szCs w:val="24"/>
          <w:lang w:val="en-GB" w:eastAsia="cs-CZ"/>
        </w:rPr>
        <w:t xml:space="preserve"> al. 2000: </w:t>
      </w:r>
      <w:proofErr w:type="spellStart"/>
      <w:r w:rsidRPr="00FF0C06">
        <w:rPr>
          <w:rFonts w:ascii="Times New Roman" w:eastAsia="Times New Roman" w:hAnsi="Times New Roman" w:cs="Times New Roman"/>
          <w:sz w:val="24"/>
          <w:szCs w:val="24"/>
          <w:lang w:val="en-GB" w:eastAsia="cs-CZ"/>
        </w:rPr>
        <w:t>Limity</w:t>
      </w:r>
      <w:proofErr w:type="spellEnd"/>
      <w:r w:rsidRPr="00FF0C06">
        <w:rPr>
          <w:rFonts w:ascii="Times New Roman" w:eastAsia="Times New Roman" w:hAnsi="Times New Roman" w:cs="Times New Roman"/>
          <w:sz w:val="24"/>
          <w:szCs w:val="24"/>
          <w:lang w:val="en-GB" w:eastAsia="cs-CZ"/>
        </w:rPr>
        <w:t xml:space="preserve"> </w:t>
      </w:r>
      <w:proofErr w:type="spellStart"/>
      <w:r w:rsidRPr="00FF0C06">
        <w:rPr>
          <w:rFonts w:ascii="Times New Roman" w:eastAsia="Times New Roman" w:hAnsi="Times New Roman" w:cs="Times New Roman"/>
          <w:sz w:val="24"/>
          <w:szCs w:val="24"/>
          <w:lang w:val="en-GB" w:eastAsia="cs-CZ"/>
        </w:rPr>
        <w:t>kontaminace</w:t>
      </w:r>
      <w:proofErr w:type="spellEnd"/>
      <w:r w:rsidRPr="00FF0C06">
        <w:rPr>
          <w:rFonts w:ascii="Times New Roman" w:eastAsia="Times New Roman" w:hAnsi="Times New Roman" w:cs="Times New Roman"/>
          <w:sz w:val="24"/>
          <w:szCs w:val="24"/>
          <w:lang w:val="en-GB" w:eastAsia="cs-CZ"/>
        </w:rPr>
        <w:t xml:space="preserve"> a </w:t>
      </w:r>
      <w:proofErr w:type="spellStart"/>
      <w:r w:rsidRPr="00FF0C06">
        <w:rPr>
          <w:rFonts w:ascii="Times New Roman" w:eastAsia="Times New Roman" w:hAnsi="Times New Roman" w:cs="Times New Roman"/>
          <w:sz w:val="24"/>
          <w:szCs w:val="24"/>
          <w:lang w:val="en-GB" w:eastAsia="cs-CZ"/>
        </w:rPr>
        <w:t>ochrany</w:t>
      </w:r>
      <w:proofErr w:type="spellEnd"/>
      <w:r w:rsidRPr="00FF0C06">
        <w:rPr>
          <w:rFonts w:ascii="Times New Roman" w:eastAsia="Times New Roman" w:hAnsi="Times New Roman" w:cs="Times New Roman"/>
          <w:sz w:val="24"/>
          <w:szCs w:val="24"/>
          <w:lang w:val="en-GB" w:eastAsia="cs-CZ"/>
        </w:rPr>
        <w:t xml:space="preserve"> </w:t>
      </w:r>
      <w:proofErr w:type="spellStart"/>
      <w:r w:rsidRPr="00FF0C06">
        <w:rPr>
          <w:rFonts w:ascii="Times New Roman" w:eastAsia="Times New Roman" w:hAnsi="Times New Roman" w:cs="Times New Roman"/>
          <w:sz w:val="24"/>
          <w:szCs w:val="24"/>
          <w:lang w:val="en-GB" w:eastAsia="cs-CZ"/>
        </w:rPr>
        <w:t>potravního</w:t>
      </w:r>
      <w:proofErr w:type="spellEnd"/>
      <w:r w:rsidRPr="00FF0C06">
        <w:rPr>
          <w:rFonts w:ascii="Times New Roman" w:eastAsia="Times New Roman" w:hAnsi="Times New Roman" w:cs="Times New Roman"/>
          <w:sz w:val="24"/>
          <w:szCs w:val="24"/>
          <w:lang w:val="en-GB" w:eastAsia="cs-CZ"/>
        </w:rPr>
        <w:t xml:space="preserve"> </w:t>
      </w:r>
      <w:proofErr w:type="spellStart"/>
      <w:r w:rsidRPr="00FF0C06">
        <w:rPr>
          <w:rFonts w:ascii="Times New Roman" w:eastAsia="Times New Roman" w:hAnsi="Times New Roman" w:cs="Times New Roman"/>
          <w:sz w:val="24"/>
          <w:szCs w:val="24"/>
          <w:lang w:val="en-GB" w:eastAsia="cs-CZ"/>
        </w:rPr>
        <w:t>řetězce</w:t>
      </w:r>
      <w:proofErr w:type="spellEnd"/>
      <w:r w:rsidRPr="00FF0C06">
        <w:rPr>
          <w:rFonts w:ascii="Times New Roman" w:eastAsia="Times New Roman" w:hAnsi="Times New Roman" w:cs="Times New Roman"/>
          <w:sz w:val="24"/>
          <w:szCs w:val="24"/>
          <w:lang w:val="en-GB" w:eastAsia="cs-CZ"/>
        </w:rPr>
        <w:t xml:space="preserve">. </w:t>
      </w:r>
      <w:proofErr w:type="spellStart"/>
      <w:r w:rsidRPr="00FF0C06">
        <w:rPr>
          <w:rFonts w:ascii="Times New Roman" w:eastAsia="Times New Roman" w:hAnsi="Times New Roman" w:cs="Times New Roman"/>
          <w:sz w:val="24"/>
          <w:szCs w:val="24"/>
          <w:lang w:val="en-GB" w:eastAsia="cs-CZ"/>
        </w:rPr>
        <w:t>Realizační</w:t>
      </w:r>
      <w:proofErr w:type="spellEnd"/>
      <w:r w:rsidRPr="00FF0C06">
        <w:rPr>
          <w:rFonts w:ascii="Times New Roman" w:eastAsia="Times New Roman" w:hAnsi="Times New Roman" w:cs="Times New Roman"/>
          <w:sz w:val="24"/>
          <w:szCs w:val="24"/>
          <w:lang w:val="en-GB" w:eastAsia="cs-CZ"/>
        </w:rPr>
        <w:t xml:space="preserve"> </w:t>
      </w:r>
      <w:proofErr w:type="spellStart"/>
      <w:r w:rsidRPr="00FF0C06">
        <w:rPr>
          <w:rFonts w:ascii="Times New Roman" w:eastAsia="Times New Roman" w:hAnsi="Times New Roman" w:cs="Times New Roman"/>
          <w:sz w:val="24"/>
          <w:szCs w:val="24"/>
          <w:lang w:val="en-GB" w:eastAsia="cs-CZ"/>
        </w:rPr>
        <w:t>výstup</w:t>
      </w:r>
      <w:proofErr w:type="spellEnd"/>
      <w:r w:rsidRPr="00FF0C06">
        <w:rPr>
          <w:rFonts w:ascii="Times New Roman" w:eastAsia="Times New Roman" w:hAnsi="Times New Roman" w:cs="Times New Roman"/>
          <w:sz w:val="24"/>
          <w:szCs w:val="24"/>
          <w:lang w:val="en-GB" w:eastAsia="cs-CZ"/>
        </w:rPr>
        <w:t xml:space="preserve"> </w:t>
      </w:r>
      <w:proofErr w:type="spellStart"/>
      <w:r w:rsidRPr="00FF0C06">
        <w:rPr>
          <w:rFonts w:ascii="Times New Roman" w:eastAsia="Times New Roman" w:hAnsi="Times New Roman" w:cs="Times New Roman"/>
          <w:sz w:val="24"/>
          <w:szCs w:val="24"/>
          <w:lang w:val="en-GB" w:eastAsia="cs-CZ"/>
        </w:rPr>
        <w:t>za</w:t>
      </w:r>
      <w:proofErr w:type="spellEnd"/>
      <w:r w:rsidRPr="00FF0C06">
        <w:rPr>
          <w:rFonts w:ascii="Times New Roman" w:eastAsia="Times New Roman" w:hAnsi="Times New Roman" w:cs="Times New Roman"/>
          <w:sz w:val="24"/>
          <w:szCs w:val="24"/>
          <w:lang w:val="en-GB" w:eastAsia="cs-CZ"/>
        </w:rPr>
        <w:t xml:space="preserve"> </w:t>
      </w:r>
      <w:proofErr w:type="spellStart"/>
      <w:r w:rsidRPr="00FF0C06">
        <w:rPr>
          <w:rFonts w:ascii="Times New Roman" w:eastAsia="Times New Roman" w:hAnsi="Times New Roman" w:cs="Times New Roman"/>
          <w:sz w:val="24"/>
          <w:szCs w:val="24"/>
          <w:lang w:val="en-GB" w:eastAsia="cs-CZ"/>
        </w:rPr>
        <w:t>Projekt</w:t>
      </w:r>
      <w:proofErr w:type="spellEnd"/>
      <w:r w:rsidRPr="00FF0C06">
        <w:rPr>
          <w:rFonts w:ascii="Times New Roman" w:eastAsia="Times New Roman" w:hAnsi="Times New Roman" w:cs="Times New Roman"/>
          <w:sz w:val="24"/>
          <w:szCs w:val="24"/>
          <w:lang w:val="en-GB" w:eastAsia="cs-CZ"/>
        </w:rPr>
        <w:t xml:space="preserve"> </w:t>
      </w:r>
      <w:proofErr w:type="spellStart"/>
      <w:r w:rsidRPr="00FF0C06">
        <w:rPr>
          <w:rFonts w:ascii="Times New Roman" w:eastAsia="Times New Roman" w:hAnsi="Times New Roman" w:cs="Times New Roman"/>
          <w:sz w:val="24"/>
          <w:szCs w:val="24"/>
          <w:lang w:val="en-GB" w:eastAsia="cs-CZ"/>
        </w:rPr>
        <w:t>výzkumu</w:t>
      </w:r>
      <w:proofErr w:type="spellEnd"/>
      <w:r w:rsidRPr="00FF0C06">
        <w:rPr>
          <w:rFonts w:ascii="Times New Roman" w:eastAsia="Times New Roman" w:hAnsi="Times New Roman" w:cs="Times New Roman"/>
          <w:sz w:val="24"/>
          <w:szCs w:val="24"/>
          <w:lang w:val="en-GB" w:eastAsia="cs-CZ"/>
        </w:rPr>
        <w:t xml:space="preserve"> a </w:t>
      </w:r>
      <w:proofErr w:type="spellStart"/>
      <w:r w:rsidRPr="00FF0C06">
        <w:rPr>
          <w:rFonts w:ascii="Times New Roman" w:eastAsia="Times New Roman" w:hAnsi="Times New Roman" w:cs="Times New Roman"/>
          <w:sz w:val="24"/>
          <w:szCs w:val="24"/>
          <w:lang w:val="en-GB" w:eastAsia="cs-CZ"/>
        </w:rPr>
        <w:t>vývoje</w:t>
      </w:r>
      <w:proofErr w:type="spellEnd"/>
      <w:r w:rsidRPr="00FF0C06">
        <w:rPr>
          <w:rFonts w:ascii="Times New Roman" w:eastAsia="Times New Roman" w:hAnsi="Times New Roman" w:cs="Times New Roman"/>
          <w:sz w:val="24"/>
          <w:szCs w:val="24"/>
          <w:lang w:val="en-GB" w:eastAsia="cs-CZ"/>
        </w:rPr>
        <w:t xml:space="preserve"> </w:t>
      </w:r>
      <w:proofErr w:type="spellStart"/>
      <w:r w:rsidRPr="00FF0C06">
        <w:rPr>
          <w:rFonts w:ascii="Times New Roman" w:eastAsia="Times New Roman" w:hAnsi="Times New Roman" w:cs="Times New Roman"/>
          <w:sz w:val="24"/>
          <w:szCs w:val="24"/>
          <w:lang w:val="en-GB" w:eastAsia="cs-CZ"/>
        </w:rPr>
        <w:t>MZe</w:t>
      </w:r>
      <w:proofErr w:type="spellEnd"/>
      <w:r w:rsidRPr="00FF0C06">
        <w:rPr>
          <w:rFonts w:ascii="Times New Roman" w:eastAsia="Times New Roman" w:hAnsi="Times New Roman" w:cs="Times New Roman"/>
          <w:sz w:val="24"/>
          <w:szCs w:val="24"/>
          <w:lang w:val="en-GB" w:eastAsia="cs-CZ"/>
        </w:rPr>
        <w:t xml:space="preserve"> ČR a NAZV, program 09: </w:t>
      </w:r>
      <w:proofErr w:type="spellStart"/>
      <w:r w:rsidRPr="00FF0C06">
        <w:rPr>
          <w:rFonts w:ascii="Times New Roman" w:eastAsia="Times New Roman" w:hAnsi="Times New Roman" w:cs="Times New Roman"/>
          <w:sz w:val="24"/>
          <w:szCs w:val="24"/>
          <w:lang w:val="en-GB" w:eastAsia="cs-CZ"/>
        </w:rPr>
        <w:t>Hodnocení</w:t>
      </w:r>
      <w:proofErr w:type="spellEnd"/>
      <w:r w:rsidRPr="00FF0C06">
        <w:rPr>
          <w:rFonts w:ascii="Times New Roman" w:eastAsia="Times New Roman" w:hAnsi="Times New Roman" w:cs="Times New Roman"/>
          <w:sz w:val="24"/>
          <w:szCs w:val="24"/>
          <w:lang w:val="en-GB" w:eastAsia="cs-CZ"/>
        </w:rPr>
        <w:t xml:space="preserve">, </w:t>
      </w:r>
      <w:proofErr w:type="spellStart"/>
      <w:r w:rsidRPr="00FF0C06">
        <w:rPr>
          <w:rFonts w:ascii="Times New Roman" w:eastAsia="Times New Roman" w:hAnsi="Times New Roman" w:cs="Times New Roman"/>
          <w:sz w:val="24"/>
          <w:szCs w:val="24"/>
          <w:lang w:val="en-GB" w:eastAsia="cs-CZ"/>
        </w:rPr>
        <w:t>uchování</w:t>
      </w:r>
      <w:proofErr w:type="spellEnd"/>
      <w:r w:rsidRPr="00FF0C06">
        <w:rPr>
          <w:rFonts w:ascii="Times New Roman" w:eastAsia="Times New Roman" w:hAnsi="Times New Roman" w:cs="Times New Roman"/>
          <w:sz w:val="24"/>
          <w:szCs w:val="24"/>
          <w:lang w:val="en-GB" w:eastAsia="cs-CZ"/>
        </w:rPr>
        <w:t xml:space="preserve"> a </w:t>
      </w:r>
      <w:proofErr w:type="spellStart"/>
      <w:r w:rsidRPr="00FF0C06">
        <w:rPr>
          <w:rFonts w:ascii="Times New Roman" w:eastAsia="Times New Roman" w:hAnsi="Times New Roman" w:cs="Times New Roman"/>
          <w:sz w:val="24"/>
          <w:szCs w:val="24"/>
          <w:lang w:val="en-GB" w:eastAsia="cs-CZ"/>
        </w:rPr>
        <w:t>zvýšení</w:t>
      </w:r>
      <w:proofErr w:type="spellEnd"/>
      <w:r w:rsidRPr="00FF0C06">
        <w:rPr>
          <w:rFonts w:ascii="Times New Roman" w:eastAsia="Times New Roman" w:hAnsi="Times New Roman" w:cs="Times New Roman"/>
          <w:sz w:val="24"/>
          <w:szCs w:val="24"/>
          <w:lang w:val="en-GB" w:eastAsia="cs-CZ"/>
        </w:rPr>
        <w:t xml:space="preserve"> </w:t>
      </w:r>
      <w:proofErr w:type="spellStart"/>
      <w:r w:rsidRPr="00FF0C06">
        <w:rPr>
          <w:rFonts w:ascii="Times New Roman" w:eastAsia="Times New Roman" w:hAnsi="Times New Roman" w:cs="Times New Roman"/>
          <w:sz w:val="24"/>
          <w:szCs w:val="24"/>
          <w:lang w:val="en-GB" w:eastAsia="cs-CZ"/>
        </w:rPr>
        <w:t>produkčního</w:t>
      </w:r>
      <w:proofErr w:type="spellEnd"/>
      <w:r w:rsidRPr="00FF0C06">
        <w:rPr>
          <w:rFonts w:ascii="Times New Roman" w:eastAsia="Times New Roman" w:hAnsi="Times New Roman" w:cs="Times New Roman"/>
          <w:sz w:val="24"/>
          <w:szCs w:val="24"/>
          <w:lang w:val="en-GB" w:eastAsia="cs-CZ"/>
        </w:rPr>
        <w:t xml:space="preserve"> </w:t>
      </w:r>
      <w:proofErr w:type="spellStart"/>
      <w:r w:rsidRPr="00FF0C06">
        <w:rPr>
          <w:rFonts w:ascii="Times New Roman" w:eastAsia="Times New Roman" w:hAnsi="Times New Roman" w:cs="Times New Roman"/>
          <w:sz w:val="24"/>
          <w:szCs w:val="24"/>
          <w:lang w:val="en-GB" w:eastAsia="cs-CZ"/>
        </w:rPr>
        <w:t>potenciálu</w:t>
      </w:r>
      <w:proofErr w:type="spellEnd"/>
      <w:r w:rsidRPr="00FF0C06">
        <w:rPr>
          <w:rFonts w:ascii="Times New Roman" w:eastAsia="Times New Roman" w:hAnsi="Times New Roman" w:cs="Times New Roman"/>
          <w:sz w:val="24"/>
          <w:szCs w:val="24"/>
          <w:lang w:val="en-GB" w:eastAsia="cs-CZ"/>
        </w:rPr>
        <w:t xml:space="preserve"> a </w:t>
      </w:r>
      <w:proofErr w:type="spellStart"/>
      <w:r w:rsidRPr="00FF0C06">
        <w:rPr>
          <w:rFonts w:ascii="Times New Roman" w:eastAsia="Times New Roman" w:hAnsi="Times New Roman" w:cs="Times New Roman"/>
          <w:sz w:val="24"/>
          <w:szCs w:val="24"/>
          <w:lang w:val="en-GB" w:eastAsia="cs-CZ"/>
        </w:rPr>
        <w:t>základních</w:t>
      </w:r>
      <w:proofErr w:type="spellEnd"/>
      <w:r w:rsidRPr="00FF0C06">
        <w:rPr>
          <w:rFonts w:ascii="Times New Roman" w:eastAsia="Times New Roman" w:hAnsi="Times New Roman" w:cs="Times New Roman"/>
          <w:sz w:val="24"/>
          <w:szCs w:val="24"/>
          <w:lang w:val="en-GB" w:eastAsia="cs-CZ"/>
        </w:rPr>
        <w:t xml:space="preserve"> </w:t>
      </w:r>
      <w:proofErr w:type="spellStart"/>
      <w:r w:rsidRPr="00FF0C06">
        <w:rPr>
          <w:rFonts w:ascii="Times New Roman" w:eastAsia="Times New Roman" w:hAnsi="Times New Roman" w:cs="Times New Roman"/>
          <w:sz w:val="24"/>
          <w:szCs w:val="24"/>
          <w:lang w:val="en-GB" w:eastAsia="cs-CZ"/>
        </w:rPr>
        <w:t>ekologických</w:t>
      </w:r>
      <w:proofErr w:type="spellEnd"/>
      <w:r w:rsidRPr="00FF0C06">
        <w:rPr>
          <w:rFonts w:ascii="Times New Roman" w:eastAsia="Times New Roman" w:hAnsi="Times New Roman" w:cs="Times New Roman"/>
          <w:sz w:val="24"/>
          <w:szCs w:val="24"/>
          <w:lang w:val="en-GB" w:eastAsia="cs-CZ"/>
        </w:rPr>
        <w:t xml:space="preserve"> </w:t>
      </w:r>
      <w:proofErr w:type="spellStart"/>
      <w:r w:rsidRPr="00FF0C06">
        <w:rPr>
          <w:rFonts w:ascii="Times New Roman" w:eastAsia="Times New Roman" w:hAnsi="Times New Roman" w:cs="Times New Roman"/>
          <w:sz w:val="24"/>
          <w:szCs w:val="24"/>
          <w:lang w:val="en-GB" w:eastAsia="cs-CZ"/>
        </w:rPr>
        <w:t>funkcí</w:t>
      </w:r>
      <w:proofErr w:type="spellEnd"/>
      <w:r w:rsidRPr="00FF0C06">
        <w:rPr>
          <w:rFonts w:ascii="Times New Roman" w:eastAsia="Times New Roman" w:hAnsi="Times New Roman" w:cs="Times New Roman"/>
          <w:sz w:val="24"/>
          <w:szCs w:val="24"/>
          <w:lang w:val="en-GB" w:eastAsia="cs-CZ"/>
        </w:rPr>
        <w:t xml:space="preserve">, </w:t>
      </w:r>
      <w:proofErr w:type="spellStart"/>
      <w:r w:rsidRPr="00FF0C06">
        <w:rPr>
          <w:rFonts w:ascii="Times New Roman" w:eastAsia="Times New Roman" w:hAnsi="Times New Roman" w:cs="Times New Roman"/>
          <w:sz w:val="24"/>
          <w:szCs w:val="24"/>
          <w:lang w:val="en-GB" w:eastAsia="cs-CZ"/>
        </w:rPr>
        <w:t>úkol</w:t>
      </w:r>
      <w:proofErr w:type="spellEnd"/>
      <w:r w:rsidRPr="00FF0C06">
        <w:rPr>
          <w:rFonts w:ascii="Times New Roman" w:eastAsia="Times New Roman" w:hAnsi="Times New Roman" w:cs="Times New Roman"/>
          <w:sz w:val="24"/>
          <w:szCs w:val="24"/>
          <w:lang w:val="en-GB" w:eastAsia="cs-CZ"/>
        </w:rPr>
        <w:t xml:space="preserve"> „</w:t>
      </w:r>
      <w:proofErr w:type="spellStart"/>
      <w:r w:rsidRPr="00FF0C06">
        <w:rPr>
          <w:rFonts w:ascii="Times New Roman" w:eastAsia="Times New Roman" w:hAnsi="Times New Roman" w:cs="Times New Roman"/>
          <w:sz w:val="24"/>
          <w:szCs w:val="24"/>
          <w:lang w:val="en-GB" w:eastAsia="cs-CZ"/>
        </w:rPr>
        <w:t>Zatížení</w:t>
      </w:r>
      <w:proofErr w:type="spellEnd"/>
      <w:r w:rsidRPr="00FF0C06">
        <w:rPr>
          <w:rFonts w:ascii="Times New Roman" w:eastAsia="Times New Roman" w:hAnsi="Times New Roman" w:cs="Times New Roman"/>
          <w:sz w:val="24"/>
          <w:szCs w:val="24"/>
          <w:lang w:val="en-GB" w:eastAsia="cs-CZ"/>
        </w:rPr>
        <w:t xml:space="preserve"> </w:t>
      </w:r>
      <w:proofErr w:type="spellStart"/>
      <w:r w:rsidRPr="00FF0C06">
        <w:rPr>
          <w:rFonts w:ascii="Times New Roman" w:eastAsia="Times New Roman" w:hAnsi="Times New Roman" w:cs="Times New Roman"/>
          <w:sz w:val="24"/>
          <w:szCs w:val="24"/>
          <w:lang w:val="en-GB" w:eastAsia="cs-CZ"/>
        </w:rPr>
        <w:t>půd</w:t>
      </w:r>
      <w:proofErr w:type="spellEnd"/>
      <w:r w:rsidRPr="00FF0C06">
        <w:rPr>
          <w:rFonts w:ascii="Times New Roman" w:eastAsia="Times New Roman" w:hAnsi="Times New Roman" w:cs="Times New Roman"/>
          <w:sz w:val="24"/>
          <w:szCs w:val="24"/>
          <w:lang w:val="en-GB" w:eastAsia="cs-CZ"/>
        </w:rPr>
        <w:t xml:space="preserve"> </w:t>
      </w:r>
      <w:proofErr w:type="spellStart"/>
      <w:r w:rsidRPr="00FF0C06">
        <w:rPr>
          <w:rFonts w:ascii="Times New Roman" w:eastAsia="Times New Roman" w:hAnsi="Times New Roman" w:cs="Times New Roman"/>
          <w:sz w:val="24"/>
          <w:szCs w:val="24"/>
          <w:lang w:val="en-GB" w:eastAsia="cs-CZ"/>
        </w:rPr>
        <w:t>rizikovými</w:t>
      </w:r>
      <w:proofErr w:type="spellEnd"/>
      <w:r w:rsidRPr="00FF0C06">
        <w:rPr>
          <w:rFonts w:ascii="Times New Roman" w:eastAsia="Times New Roman" w:hAnsi="Times New Roman" w:cs="Times New Roman"/>
          <w:sz w:val="24"/>
          <w:szCs w:val="24"/>
          <w:lang w:val="en-GB" w:eastAsia="cs-CZ"/>
        </w:rPr>
        <w:t xml:space="preserve"> </w:t>
      </w:r>
      <w:proofErr w:type="spellStart"/>
      <w:r w:rsidRPr="00FF0C06">
        <w:rPr>
          <w:rFonts w:ascii="Times New Roman" w:eastAsia="Times New Roman" w:hAnsi="Times New Roman" w:cs="Times New Roman"/>
          <w:sz w:val="24"/>
          <w:szCs w:val="24"/>
          <w:lang w:val="en-GB" w:eastAsia="cs-CZ"/>
        </w:rPr>
        <w:t>látkami</w:t>
      </w:r>
      <w:proofErr w:type="spellEnd"/>
      <w:r w:rsidRPr="00FF0C06">
        <w:rPr>
          <w:rFonts w:ascii="Times New Roman" w:eastAsia="Times New Roman" w:hAnsi="Times New Roman" w:cs="Times New Roman"/>
          <w:sz w:val="24"/>
          <w:szCs w:val="24"/>
          <w:lang w:val="en-GB" w:eastAsia="cs-CZ"/>
        </w:rPr>
        <w:t xml:space="preserve"> </w:t>
      </w:r>
      <w:proofErr w:type="spellStart"/>
      <w:r w:rsidRPr="00FF0C06">
        <w:rPr>
          <w:rFonts w:ascii="Times New Roman" w:eastAsia="Times New Roman" w:hAnsi="Times New Roman" w:cs="Times New Roman"/>
          <w:sz w:val="24"/>
          <w:szCs w:val="24"/>
          <w:lang w:val="en-GB" w:eastAsia="cs-CZ"/>
        </w:rPr>
        <w:t>ve</w:t>
      </w:r>
      <w:proofErr w:type="spellEnd"/>
      <w:r w:rsidRPr="00FF0C06">
        <w:rPr>
          <w:rFonts w:ascii="Times New Roman" w:eastAsia="Times New Roman" w:hAnsi="Times New Roman" w:cs="Times New Roman"/>
          <w:sz w:val="24"/>
          <w:szCs w:val="24"/>
          <w:lang w:val="en-GB" w:eastAsia="cs-CZ"/>
        </w:rPr>
        <w:t xml:space="preserve"> </w:t>
      </w:r>
      <w:proofErr w:type="spellStart"/>
      <w:r w:rsidRPr="00FF0C06">
        <w:rPr>
          <w:rFonts w:ascii="Times New Roman" w:eastAsia="Times New Roman" w:hAnsi="Times New Roman" w:cs="Times New Roman"/>
          <w:sz w:val="24"/>
          <w:szCs w:val="24"/>
          <w:lang w:val="en-GB" w:eastAsia="cs-CZ"/>
        </w:rPr>
        <w:t>vztahu</w:t>
      </w:r>
      <w:proofErr w:type="spellEnd"/>
      <w:r w:rsidRPr="00FF0C06">
        <w:rPr>
          <w:rFonts w:ascii="Times New Roman" w:eastAsia="Times New Roman" w:hAnsi="Times New Roman" w:cs="Times New Roman"/>
          <w:sz w:val="24"/>
          <w:szCs w:val="24"/>
          <w:lang w:val="en-GB" w:eastAsia="cs-CZ"/>
        </w:rPr>
        <w:t xml:space="preserve"> k </w:t>
      </w:r>
      <w:proofErr w:type="spellStart"/>
      <w:r w:rsidRPr="00FF0C06">
        <w:rPr>
          <w:rFonts w:ascii="Times New Roman" w:eastAsia="Times New Roman" w:hAnsi="Times New Roman" w:cs="Times New Roman"/>
          <w:sz w:val="24"/>
          <w:szCs w:val="24"/>
          <w:lang w:val="en-GB" w:eastAsia="cs-CZ"/>
        </w:rPr>
        <w:t>zajištění</w:t>
      </w:r>
      <w:proofErr w:type="spellEnd"/>
      <w:r>
        <w:rPr>
          <w:rFonts w:ascii="Times New Roman" w:eastAsia="Times New Roman" w:hAnsi="Times New Roman" w:cs="Times New Roman"/>
          <w:sz w:val="24"/>
          <w:szCs w:val="24"/>
          <w:lang w:val="en-GB" w:eastAsia="cs-CZ"/>
        </w:rPr>
        <w:t xml:space="preserve"> </w:t>
      </w:r>
      <w:proofErr w:type="spellStart"/>
      <w:r>
        <w:rPr>
          <w:rFonts w:ascii="Times New Roman" w:eastAsia="Times New Roman" w:hAnsi="Times New Roman" w:cs="Times New Roman"/>
          <w:sz w:val="24"/>
          <w:szCs w:val="24"/>
          <w:lang w:val="en-GB" w:eastAsia="cs-CZ"/>
        </w:rPr>
        <w:t>polyfunkčnosti</w:t>
      </w:r>
      <w:proofErr w:type="spellEnd"/>
      <w:r>
        <w:rPr>
          <w:rFonts w:ascii="Times New Roman" w:eastAsia="Times New Roman" w:hAnsi="Times New Roman" w:cs="Times New Roman"/>
          <w:sz w:val="24"/>
          <w:szCs w:val="24"/>
          <w:lang w:val="en-GB" w:eastAsia="cs-CZ"/>
        </w:rPr>
        <w:t xml:space="preserve"> </w:t>
      </w:r>
      <w:proofErr w:type="spellStart"/>
      <w:r>
        <w:rPr>
          <w:rFonts w:ascii="Times New Roman" w:eastAsia="Times New Roman" w:hAnsi="Times New Roman" w:cs="Times New Roman"/>
          <w:sz w:val="24"/>
          <w:szCs w:val="24"/>
          <w:lang w:val="en-GB" w:eastAsia="cs-CZ"/>
        </w:rPr>
        <w:t>půdy</w:t>
      </w:r>
      <w:proofErr w:type="spellEnd"/>
      <w:r>
        <w:rPr>
          <w:rFonts w:ascii="Times New Roman" w:eastAsia="Times New Roman" w:hAnsi="Times New Roman" w:cs="Times New Roman"/>
          <w:sz w:val="24"/>
          <w:szCs w:val="24"/>
          <w:lang w:val="en-GB" w:eastAsia="cs-CZ"/>
        </w:rPr>
        <w:t xml:space="preserve">, 32 </w:t>
      </w:r>
      <w:proofErr w:type="spellStart"/>
      <w:r>
        <w:rPr>
          <w:rFonts w:ascii="Times New Roman" w:eastAsia="Times New Roman" w:hAnsi="Times New Roman" w:cs="Times New Roman"/>
          <w:sz w:val="24"/>
          <w:szCs w:val="24"/>
          <w:lang w:val="en-GB" w:eastAsia="cs-CZ"/>
        </w:rPr>
        <w:t>stran</w:t>
      </w:r>
      <w:proofErr w:type="spellEnd"/>
      <w:r>
        <w:rPr>
          <w:rFonts w:ascii="Times New Roman" w:eastAsia="Times New Roman" w:hAnsi="Times New Roman" w:cs="Times New Roman"/>
          <w:sz w:val="24"/>
          <w:szCs w:val="24"/>
          <w:lang w:val="en-GB" w:eastAsia="cs-CZ"/>
        </w:rPr>
        <w:t>.</w:t>
      </w:r>
    </w:p>
    <w:p w:rsidR="001F59C3" w:rsidRPr="003F04C6" w:rsidRDefault="001F59C3" w:rsidP="001F59C3">
      <w:pPr>
        <w:spacing w:after="120"/>
        <w:rPr>
          <w:rFonts w:ascii="Times New Roman" w:eastAsia="Times New Roman" w:hAnsi="Times New Roman" w:cs="Times New Roman"/>
          <w:sz w:val="24"/>
          <w:szCs w:val="24"/>
          <w:lang w:val="en-GB" w:eastAsia="cs-CZ"/>
        </w:rPr>
      </w:pPr>
      <w:r w:rsidRPr="003F04C6">
        <w:rPr>
          <w:rFonts w:ascii="Times New Roman" w:eastAsia="Times New Roman" w:hAnsi="Times New Roman" w:cs="Times New Roman"/>
          <w:sz w:val="24"/>
          <w:szCs w:val="24"/>
          <w:lang w:val="en-GB" w:eastAsia="cs-CZ"/>
        </w:rPr>
        <w:t xml:space="preserve">Jones C. A., </w:t>
      </w:r>
      <w:proofErr w:type="spellStart"/>
      <w:r w:rsidRPr="003F04C6">
        <w:rPr>
          <w:rFonts w:ascii="Times New Roman" w:eastAsia="Times New Roman" w:hAnsi="Times New Roman" w:cs="Times New Roman"/>
          <w:sz w:val="24"/>
          <w:szCs w:val="24"/>
          <w:lang w:val="en-GB" w:eastAsia="cs-CZ"/>
        </w:rPr>
        <w:t>Inskeep</w:t>
      </w:r>
      <w:proofErr w:type="spellEnd"/>
      <w:r w:rsidRPr="003F04C6">
        <w:rPr>
          <w:rFonts w:ascii="Times New Roman" w:eastAsia="Times New Roman" w:hAnsi="Times New Roman" w:cs="Times New Roman"/>
          <w:sz w:val="24"/>
          <w:szCs w:val="24"/>
          <w:lang w:val="en-GB" w:eastAsia="cs-CZ"/>
        </w:rPr>
        <w:t xml:space="preserve"> W. P., </w:t>
      </w:r>
      <w:proofErr w:type="spellStart"/>
      <w:r w:rsidRPr="003F04C6">
        <w:rPr>
          <w:rFonts w:ascii="Times New Roman" w:eastAsia="Times New Roman" w:hAnsi="Times New Roman" w:cs="Times New Roman"/>
          <w:sz w:val="24"/>
          <w:szCs w:val="24"/>
          <w:lang w:val="en-GB" w:eastAsia="cs-CZ"/>
        </w:rPr>
        <w:t>Neuman</w:t>
      </w:r>
      <w:proofErr w:type="spellEnd"/>
      <w:r w:rsidRPr="003F04C6">
        <w:rPr>
          <w:rFonts w:ascii="Times New Roman" w:eastAsia="Times New Roman" w:hAnsi="Times New Roman" w:cs="Times New Roman"/>
          <w:sz w:val="24"/>
          <w:szCs w:val="24"/>
          <w:lang w:val="en-GB" w:eastAsia="cs-CZ"/>
        </w:rPr>
        <w:t xml:space="preserve"> D. R. </w:t>
      </w:r>
      <w:r>
        <w:rPr>
          <w:rFonts w:ascii="Times New Roman" w:eastAsia="Times New Roman" w:hAnsi="Times New Roman" w:cs="Times New Roman"/>
          <w:sz w:val="24"/>
          <w:szCs w:val="24"/>
          <w:lang w:val="en-GB" w:eastAsia="cs-CZ"/>
        </w:rPr>
        <w:t>(</w:t>
      </w:r>
      <w:r w:rsidRPr="003F04C6">
        <w:rPr>
          <w:rFonts w:ascii="Times New Roman" w:eastAsia="Times New Roman" w:hAnsi="Times New Roman" w:cs="Times New Roman"/>
          <w:sz w:val="24"/>
          <w:szCs w:val="24"/>
          <w:lang w:val="en-GB" w:eastAsia="cs-CZ"/>
        </w:rPr>
        <w:t>1997</w:t>
      </w:r>
      <w:r>
        <w:rPr>
          <w:rFonts w:ascii="Times New Roman" w:eastAsia="Times New Roman" w:hAnsi="Times New Roman" w:cs="Times New Roman"/>
          <w:sz w:val="24"/>
          <w:szCs w:val="24"/>
          <w:lang w:val="en-GB" w:eastAsia="cs-CZ"/>
        </w:rPr>
        <w:t>)</w:t>
      </w:r>
      <w:r w:rsidRPr="003F04C6">
        <w:rPr>
          <w:rFonts w:ascii="Times New Roman" w:eastAsia="Times New Roman" w:hAnsi="Times New Roman" w:cs="Times New Roman"/>
          <w:sz w:val="24"/>
          <w:szCs w:val="24"/>
          <w:lang w:val="en-GB" w:eastAsia="cs-CZ"/>
        </w:rPr>
        <w:t xml:space="preserve">: Arsenic transport in contaminated mine tailings following liming. Journal </w:t>
      </w:r>
      <w:proofErr w:type="spellStart"/>
      <w:r w:rsidRPr="003F04C6">
        <w:rPr>
          <w:rFonts w:ascii="Times New Roman" w:eastAsia="Times New Roman" w:hAnsi="Times New Roman" w:cs="Times New Roman"/>
          <w:sz w:val="24"/>
          <w:szCs w:val="24"/>
          <w:lang w:val="en-GB" w:eastAsia="cs-CZ"/>
        </w:rPr>
        <w:t>Enviromental</w:t>
      </w:r>
      <w:proofErr w:type="spellEnd"/>
      <w:r w:rsidRPr="003F04C6">
        <w:rPr>
          <w:rFonts w:ascii="Times New Roman" w:eastAsia="Times New Roman" w:hAnsi="Times New Roman" w:cs="Times New Roman"/>
          <w:sz w:val="24"/>
          <w:szCs w:val="24"/>
          <w:lang w:val="en-GB" w:eastAsia="cs-CZ"/>
        </w:rPr>
        <w:t xml:space="preserve"> Quality, 1997 (26)</w:t>
      </w:r>
      <w:r>
        <w:rPr>
          <w:rFonts w:ascii="Times New Roman" w:eastAsia="Times New Roman" w:hAnsi="Times New Roman" w:cs="Times New Roman"/>
          <w:sz w:val="24"/>
          <w:szCs w:val="24"/>
          <w:lang w:val="en-GB" w:eastAsia="cs-CZ"/>
        </w:rPr>
        <w:t>:</w:t>
      </w:r>
      <w:r w:rsidRPr="003F04C6">
        <w:rPr>
          <w:rFonts w:ascii="Times New Roman" w:eastAsia="Times New Roman" w:hAnsi="Times New Roman" w:cs="Times New Roman"/>
          <w:sz w:val="24"/>
          <w:szCs w:val="24"/>
          <w:lang w:val="en-GB" w:eastAsia="cs-CZ"/>
        </w:rPr>
        <w:t xml:space="preserve"> 433-439.</w:t>
      </w:r>
    </w:p>
    <w:p w:rsidR="001F59C3" w:rsidRPr="00B94F7E" w:rsidRDefault="001F59C3" w:rsidP="001F59C3">
      <w:pPr>
        <w:spacing w:after="120"/>
        <w:rPr>
          <w:rFonts w:ascii="Times New Roman" w:eastAsia="Times New Roman" w:hAnsi="Times New Roman" w:cs="Times New Roman"/>
          <w:sz w:val="24"/>
          <w:szCs w:val="24"/>
          <w:lang w:val="en-GB" w:eastAsia="cs-CZ"/>
        </w:rPr>
      </w:pPr>
      <w:proofErr w:type="spellStart"/>
      <w:r w:rsidRPr="0017145E">
        <w:rPr>
          <w:rFonts w:ascii="Times New Roman" w:eastAsia="Times New Roman" w:hAnsi="Times New Roman" w:cs="Times New Roman"/>
          <w:sz w:val="24"/>
          <w:szCs w:val="24"/>
          <w:lang w:val="en-GB" w:eastAsia="cs-CZ"/>
        </w:rPr>
        <w:t>Juillot</w:t>
      </w:r>
      <w:proofErr w:type="spellEnd"/>
      <w:r w:rsidRPr="0017145E">
        <w:rPr>
          <w:rFonts w:ascii="Times New Roman" w:eastAsia="Times New Roman" w:hAnsi="Times New Roman" w:cs="Times New Roman"/>
          <w:sz w:val="24"/>
          <w:szCs w:val="24"/>
          <w:lang w:val="en-GB" w:eastAsia="cs-CZ"/>
        </w:rPr>
        <w:t xml:space="preserve"> F., Morin G., </w:t>
      </w:r>
      <w:proofErr w:type="spellStart"/>
      <w:r w:rsidRPr="0017145E">
        <w:rPr>
          <w:rFonts w:ascii="Times New Roman" w:eastAsia="Times New Roman" w:hAnsi="Times New Roman" w:cs="Times New Roman"/>
          <w:sz w:val="24"/>
          <w:szCs w:val="24"/>
          <w:lang w:val="en-GB" w:eastAsia="cs-CZ"/>
        </w:rPr>
        <w:t>Ildefonse</w:t>
      </w:r>
      <w:proofErr w:type="spellEnd"/>
      <w:r w:rsidRPr="0017145E">
        <w:rPr>
          <w:rFonts w:ascii="Times New Roman" w:eastAsia="Times New Roman" w:hAnsi="Times New Roman" w:cs="Times New Roman"/>
          <w:sz w:val="24"/>
          <w:szCs w:val="24"/>
          <w:lang w:val="en-GB" w:eastAsia="cs-CZ"/>
        </w:rPr>
        <w:t xml:space="preserve"> P., </w:t>
      </w:r>
      <w:proofErr w:type="spellStart"/>
      <w:r w:rsidRPr="0017145E">
        <w:rPr>
          <w:rFonts w:ascii="Times New Roman" w:eastAsia="Times New Roman" w:hAnsi="Times New Roman" w:cs="Times New Roman"/>
          <w:sz w:val="24"/>
          <w:szCs w:val="24"/>
          <w:lang w:val="en-GB" w:eastAsia="cs-CZ"/>
        </w:rPr>
        <w:t>Dumat</w:t>
      </w:r>
      <w:proofErr w:type="spellEnd"/>
      <w:r w:rsidRPr="0017145E">
        <w:rPr>
          <w:rFonts w:ascii="Times New Roman" w:eastAsia="Times New Roman" w:hAnsi="Times New Roman" w:cs="Times New Roman"/>
          <w:sz w:val="24"/>
          <w:szCs w:val="24"/>
          <w:lang w:val="en-GB" w:eastAsia="cs-CZ"/>
        </w:rPr>
        <w:t xml:space="preserve"> C., Benedetti M., </w:t>
      </w:r>
      <w:proofErr w:type="spellStart"/>
      <w:r w:rsidRPr="0017145E">
        <w:rPr>
          <w:rFonts w:ascii="Times New Roman" w:eastAsia="Times New Roman" w:hAnsi="Times New Roman" w:cs="Times New Roman"/>
          <w:sz w:val="24"/>
          <w:szCs w:val="24"/>
          <w:lang w:val="en-GB" w:eastAsia="cs-CZ"/>
        </w:rPr>
        <w:t>Chevallier</w:t>
      </w:r>
      <w:proofErr w:type="spellEnd"/>
      <w:r w:rsidRPr="0017145E">
        <w:rPr>
          <w:rFonts w:ascii="Times New Roman" w:eastAsia="Times New Roman" w:hAnsi="Times New Roman" w:cs="Times New Roman"/>
          <w:sz w:val="24"/>
          <w:szCs w:val="24"/>
          <w:lang w:val="en-GB" w:eastAsia="cs-CZ"/>
        </w:rPr>
        <w:t xml:space="preserve"> P., </w:t>
      </w:r>
      <w:proofErr w:type="gramStart"/>
      <w:r w:rsidRPr="0017145E">
        <w:rPr>
          <w:rFonts w:ascii="Times New Roman" w:eastAsia="Times New Roman" w:hAnsi="Times New Roman" w:cs="Times New Roman"/>
          <w:sz w:val="24"/>
          <w:szCs w:val="24"/>
          <w:lang w:val="en-GB" w:eastAsia="cs-CZ"/>
        </w:rPr>
        <w:t>Brown</w:t>
      </w:r>
      <w:proofErr w:type="gramEnd"/>
      <w:r w:rsidRPr="0017145E">
        <w:rPr>
          <w:rFonts w:ascii="Times New Roman" w:eastAsia="Times New Roman" w:hAnsi="Times New Roman" w:cs="Times New Roman"/>
          <w:sz w:val="24"/>
          <w:szCs w:val="24"/>
          <w:lang w:val="en-GB" w:eastAsia="cs-CZ"/>
        </w:rPr>
        <w:t xml:space="preserve"> G. E., </w:t>
      </w:r>
      <w:proofErr w:type="spellStart"/>
      <w:r w:rsidRPr="0017145E">
        <w:rPr>
          <w:rFonts w:ascii="Times New Roman" w:eastAsia="Times New Roman" w:hAnsi="Times New Roman" w:cs="Times New Roman"/>
          <w:sz w:val="24"/>
          <w:szCs w:val="24"/>
          <w:lang w:val="en-GB" w:eastAsia="cs-CZ"/>
        </w:rPr>
        <w:t>Calas</w:t>
      </w:r>
      <w:proofErr w:type="spellEnd"/>
      <w:r w:rsidRPr="0017145E">
        <w:rPr>
          <w:rFonts w:ascii="Times New Roman" w:eastAsia="Times New Roman" w:hAnsi="Times New Roman" w:cs="Times New Roman"/>
          <w:sz w:val="24"/>
          <w:szCs w:val="24"/>
          <w:lang w:val="en-GB" w:eastAsia="cs-CZ"/>
        </w:rPr>
        <w:t xml:space="preserve"> G. </w:t>
      </w:r>
      <w:r>
        <w:rPr>
          <w:rFonts w:ascii="Times New Roman" w:eastAsia="Times New Roman" w:hAnsi="Times New Roman" w:cs="Times New Roman"/>
          <w:sz w:val="24"/>
          <w:szCs w:val="24"/>
          <w:lang w:val="en-GB" w:eastAsia="cs-CZ"/>
        </w:rPr>
        <w:t>(</w:t>
      </w:r>
      <w:r w:rsidRPr="0017145E">
        <w:rPr>
          <w:rFonts w:ascii="Times New Roman" w:eastAsia="Times New Roman" w:hAnsi="Times New Roman" w:cs="Times New Roman"/>
          <w:sz w:val="24"/>
          <w:szCs w:val="24"/>
          <w:lang w:val="en-GB" w:eastAsia="cs-CZ"/>
        </w:rPr>
        <w:t>1999</w:t>
      </w:r>
      <w:r>
        <w:rPr>
          <w:rFonts w:ascii="Times New Roman" w:eastAsia="Times New Roman" w:hAnsi="Times New Roman" w:cs="Times New Roman"/>
          <w:sz w:val="24"/>
          <w:szCs w:val="24"/>
          <w:lang w:val="en-GB" w:eastAsia="cs-CZ"/>
        </w:rPr>
        <w:t>)</w:t>
      </w:r>
      <w:r w:rsidRPr="0017145E">
        <w:rPr>
          <w:rFonts w:ascii="Times New Roman" w:eastAsia="Times New Roman" w:hAnsi="Times New Roman" w:cs="Times New Roman"/>
          <w:sz w:val="24"/>
          <w:szCs w:val="24"/>
          <w:lang w:val="en-GB" w:eastAsia="cs-CZ"/>
        </w:rPr>
        <w:t xml:space="preserve">: Zinc </w:t>
      </w:r>
      <w:proofErr w:type="spellStart"/>
      <w:r w:rsidRPr="0017145E">
        <w:rPr>
          <w:rFonts w:ascii="Times New Roman" w:eastAsia="Times New Roman" w:hAnsi="Times New Roman" w:cs="Times New Roman"/>
          <w:sz w:val="24"/>
          <w:szCs w:val="24"/>
          <w:lang w:val="en-GB" w:eastAsia="cs-CZ"/>
        </w:rPr>
        <w:t>spetiation</w:t>
      </w:r>
      <w:proofErr w:type="spellEnd"/>
      <w:r w:rsidRPr="0017145E">
        <w:rPr>
          <w:rFonts w:ascii="Times New Roman" w:eastAsia="Times New Roman" w:hAnsi="Times New Roman" w:cs="Times New Roman"/>
          <w:sz w:val="24"/>
          <w:szCs w:val="24"/>
          <w:lang w:val="en-GB" w:eastAsia="cs-CZ"/>
        </w:rPr>
        <w:t xml:space="preserve"> in a smelter-impacted soil by combination of </w:t>
      </w:r>
      <w:proofErr w:type="spellStart"/>
      <w:r w:rsidRPr="0017145E">
        <w:rPr>
          <w:rFonts w:ascii="Times New Roman" w:eastAsia="Times New Roman" w:hAnsi="Times New Roman" w:cs="Times New Roman"/>
          <w:sz w:val="24"/>
          <w:szCs w:val="24"/>
          <w:lang w:val="en-GB" w:eastAsia="cs-CZ"/>
        </w:rPr>
        <w:t>exafs</w:t>
      </w:r>
      <w:proofErr w:type="spellEnd"/>
      <w:r w:rsidRPr="0017145E">
        <w:rPr>
          <w:rFonts w:ascii="Times New Roman" w:eastAsia="Times New Roman" w:hAnsi="Times New Roman" w:cs="Times New Roman"/>
          <w:sz w:val="24"/>
          <w:szCs w:val="24"/>
          <w:lang w:val="en-GB" w:eastAsia="cs-CZ"/>
        </w:rPr>
        <w:t xml:space="preserve"> data and chemical extractions. 5th International Conference on the Biogeochemistry of Trace Elements, 11.-15. July, Vienna, Austria</w:t>
      </w:r>
      <w:proofErr w:type="gramStart"/>
      <w:r w:rsidRPr="0017145E">
        <w:rPr>
          <w:rFonts w:ascii="Times New Roman" w:eastAsia="Times New Roman" w:hAnsi="Times New Roman" w:cs="Times New Roman"/>
          <w:sz w:val="24"/>
          <w:szCs w:val="24"/>
          <w:lang w:val="en-GB" w:eastAsia="cs-CZ"/>
        </w:rPr>
        <w:t>,  Proceedings</w:t>
      </w:r>
      <w:proofErr w:type="gramEnd"/>
      <w:r w:rsidRPr="0017145E">
        <w:rPr>
          <w:rFonts w:ascii="Times New Roman" w:eastAsia="Times New Roman" w:hAnsi="Times New Roman" w:cs="Times New Roman"/>
          <w:sz w:val="24"/>
          <w:szCs w:val="24"/>
          <w:lang w:val="en-GB" w:eastAsia="cs-CZ"/>
        </w:rPr>
        <w:t xml:space="preserve"> of extended abstracts, </w:t>
      </w:r>
      <w:r>
        <w:rPr>
          <w:rFonts w:ascii="Times New Roman" w:eastAsia="Times New Roman" w:hAnsi="Times New Roman" w:cs="Times New Roman"/>
          <w:sz w:val="24"/>
          <w:szCs w:val="24"/>
          <w:lang w:val="en-GB" w:eastAsia="cs-CZ"/>
        </w:rPr>
        <w:t>1090-1091.</w:t>
      </w:r>
    </w:p>
    <w:p w:rsidR="001F59C3" w:rsidRPr="00936FE2" w:rsidRDefault="001F59C3" w:rsidP="001F59C3">
      <w:pPr>
        <w:spacing w:after="120"/>
        <w:rPr>
          <w:rFonts w:ascii="Times New Roman" w:eastAsia="Times New Roman" w:hAnsi="Times New Roman" w:cs="Times New Roman"/>
          <w:sz w:val="24"/>
          <w:szCs w:val="24"/>
          <w:lang w:val="en-GB" w:eastAsia="cs-CZ"/>
        </w:rPr>
      </w:pPr>
      <w:proofErr w:type="spellStart"/>
      <w:r w:rsidRPr="00936FE2">
        <w:rPr>
          <w:rFonts w:ascii="Times New Roman" w:eastAsia="Times New Roman" w:hAnsi="Times New Roman" w:cs="Times New Roman"/>
          <w:sz w:val="24"/>
          <w:szCs w:val="24"/>
          <w:lang w:val="en-GB" w:eastAsia="cs-CZ"/>
        </w:rPr>
        <w:t>Jurinak</w:t>
      </w:r>
      <w:proofErr w:type="spellEnd"/>
      <w:r w:rsidRPr="00936FE2">
        <w:rPr>
          <w:rFonts w:ascii="Times New Roman" w:eastAsia="Times New Roman" w:hAnsi="Times New Roman" w:cs="Times New Roman"/>
          <w:sz w:val="24"/>
          <w:szCs w:val="24"/>
          <w:lang w:val="en-GB" w:eastAsia="cs-CZ"/>
        </w:rPr>
        <w:t xml:space="preserve"> J. J., </w:t>
      </w:r>
      <w:proofErr w:type="spellStart"/>
      <w:r w:rsidRPr="00936FE2">
        <w:rPr>
          <w:rFonts w:ascii="Times New Roman" w:eastAsia="Times New Roman" w:hAnsi="Times New Roman" w:cs="Times New Roman"/>
          <w:sz w:val="24"/>
          <w:szCs w:val="24"/>
          <w:lang w:val="en-GB" w:eastAsia="cs-CZ"/>
        </w:rPr>
        <w:t>Tanji</w:t>
      </w:r>
      <w:proofErr w:type="spellEnd"/>
      <w:r w:rsidRPr="00936FE2">
        <w:rPr>
          <w:rFonts w:ascii="Times New Roman" w:eastAsia="Times New Roman" w:hAnsi="Times New Roman" w:cs="Times New Roman"/>
          <w:sz w:val="24"/>
          <w:szCs w:val="24"/>
          <w:lang w:val="en-GB" w:eastAsia="cs-CZ"/>
        </w:rPr>
        <w:t xml:space="preserve"> K. K. </w:t>
      </w:r>
      <w:r>
        <w:rPr>
          <w:rFonts w:ascii="Times New Roman" w:eastAsia="Times New Roman" w:hAnsi="Times New Roman" w:cs="Times New Roman"/>
          <w:sz w:val="24"/>
          <w:szCs w:val="24"/>
          <w:lang w:val="en-GB" w:eastAsia="cs-CZ"/>
        </w:rPr>
        <w:t>(</w:t>
      </w:r>
      <w:r w:rsidRPr="00936FE2">
        <w:rPr>
          <w:rFonts w:ascii="Times New Roman" w:eastAsia="Times New Roman" w:hAnsi="Times New Roman" w:cs="Times New Roman"/>
          <w:sz w:val="24"/>
          <w:szCs w:val="24"/>
          <w:lang w:val="en-GB" w:eastAsia="cs-CZ"/>
        </w:rPr>
        <w:t>1993</w:t>
      </w:r>
      <w:r>
        <w:rPr>
          <w:rFonts w:ascii="Times New Roman" w:eastAsia="Times New Roman" w:hAnsi="Times New Roman" w:cs="Times New Roman"/>
          <w:sz w:val="24"/>
          <w:szCs w:val="24"/>
          <w:lang w:val="en-GB" w:eastAsia="cs-CZ"/>
        </w:rPr>
        <w:t>)</w:t>
      </w:r>
      <w:r w:rsidRPr="00936FE2">
        <w:rPr>
          <w:rFonts w:ascii="Times New Roman" w:eastAsia="Times New Roman" w:hAnsi="Times New Roman" w:cs="Times New Roman"/>
          <w:sz w:val="24"/>
          <w:szCs w:val="24"/>
          <w:lang w:val="en-GB" w:eastAsia="cs-CZ"/>
        </w:rPr>
        <w:t xml:space="preserve">: Geochemical factors affecting trace element mobility. Journal of Irrigation and Drainage </w:t>
      </w:r>
      <w:proofErr w:type="spellStart"/>
      <w:r w:rsidRPr="00936FE2">
        <w:rPr>
          <w:rFonts w:ascii="Times New Roman" w:eastAsia="Times New Roman" w:hAnsi="Times New Roman" w:cs="Times New Roman"/>
          <w:sz w:val="24"/>
          <w:szCs w:val="24"/>
          <w:lang w:val="en-GB" w:eastAsia="cs-CZ"/>
        </w:rPr>
        <w:t>Engeneering</w:t>
      </w:r>
      <w:proofErr w:type="spellEnd"/>
      <w:r w:rsidRPr="00936FE2">
        <w:rPr>
          <w:rFonts w:ascii="Times New Roman" w:eastAsia="Times New Roman" w:hAnsi="Times New Roman" w:cs="Times New Roman"/>
          <w:sz w:val="24"/>
          <w:szCs w:val="24"/>
          <w:lang w:val="en-GB" w:eastAsia="cs-CZ"/>
        </w:rPr>
        <w:t>, 119</w:t>
      </w:r>
      <w:r>
        <w:rPr>
          <w:rFonts w:ascii="Times New Roman" w:eastAsia="Times New Roman" w:hAnsi="Times New Roman" w:cs="Times New Roman"/>
          <w:sz w:val="24"/>
          <w:szCs w:val="24"/>
          <w:lang w:val="en-GB" w:eastAsia="cs-CZ"/>
        </w:rPr>
        <w:t>:</w:t>
      </w:r>
      <w:r w:rsidRPr="00936FE2">
        <w:rPr>
          <w:rFonts w:ascii="Times New Roman" w:eastAsia="Times New Roman" w:hAnsi="Times New Roman" w:cs="Times New Roman"/>
          <w:sz w:val="24"/>
          <w:szCs w:val="24"/>
          <w:lang w:val="en-GB" w:eastAsia="cs-CZ"/>
        </w:rPr>
        <w:t xml:space="preserve"> 848-867.</w:t>
      </w:r>
    </w:p>
    <w:p w:rsidR="001F59C3" w:rsidRPr="00DD346F" w:rsidRDefault="001F59C3" w:rsidP="001F59C3">
      <w:pPr>
        <w:spacing w:after="120"/>
        <w:rPr>
          <w:rFonts w:ascii="Times New Roman" w:eastAsia="Times New Roman" w:hAnsi="Times New Roman" w:cs="Times New Roman"/>
          <w:sz w:val="24"/>
          <w:szCs w:val="24"/>
          <w:lang w:val="en-GB" w:eastAsia="cs-CZ"/>
        </w:rPr>
      </w:pPr>
      <w:proofErr w:type="spellStart"/>
      <w:r w:rsidRPr="00DD346F">
        <w:rPr>
          <w:rFonts w:ascii="Times New Roman" w:eastAsia="Times New Roman" w:hAnsi="Times New Roman" w:cs="Times New Roman"/>
          <w:sz w:val="24"/>
          <w:szCs w:val="24"/>
          <w:lang w:val="en-GB" w:eastAsia="cs-CZ"/>
        </w:rPr>
        <w:t>Kabata</w:t>
      </w:r>
      <w:proofErr w:type="spellEnd"/>
      <w:r w:rsidRPr="00DD346F">
        <w:rPr>
          <w:rFonts w:ascii="Times New Roman" w:eastAsia="Times New Roman" w:hAnsi="Times New Roman" w:cs="Times New Roman"/>
          <w:sz w:val="24"/>
          <w:szCs w:val="24"/>
          <w:lang w:val="en-GB" w:eastAsia="cs-CZ"/>
        </w:rPr>
        <w:t xml:space="preserve"> </w:t>
      </w:r>
      <w:proofErr w:type="spellStart"/>
      <w:r w:rsidRPr="00DD346F">
        <w:rPr>
          <w:rFonts w:ascii="Times New Roman" w:eastAsia="Times New Roman" w:hAnsi="Times New Roman" w:cs="Times New Roman"/>
          <w:sz w:val="24"/>
          <w:szCs w:val="24"/>
          <w:lang w:val="en-GB" w:eastAsia="cs-CZ"/>
        </w:rPr>
        <w:t>Pendias</w:t>
      </w:r>
      <w:proofErr w:type="spellEnd"/>
      <w:r w:rsidRPr="00DD346F">
        <w:rPr>
          <w:rFonts w:ascii="Times New Roman" w:eastAsia="Times New Roman" w:hAnsi="Times New Roman" w:cs="Times New Roman"/>
          <w:sz w:val="24"/>
          <w:szCs w:val="24"/>
          <w:lang w:val="en-GB" w:eastAsia="cs-CZ"/>
        </w:rPr>
        <w:t xml:space="preserve"> A., </w:t>
      </w:r>
      <w:proofErr w:type="spellStart"/>
      <w:r w:rsidRPr="00DD346F">
        <w:rPr>
          <w:rFonts w:ascii="Times New Roman" w:eastAsia="Times New Roman" w:hAnsi="Times New Roman" w:cs="Times New Roman"/>
          <w:sz w:val="24"/>
          <w:szCs w:val="24"/>
          <w:lang w:val="en-GB" w:eastAsia="cs-CZ"/>
        </w:rPr>
        <w:t>Pendias</w:t>
      </w:r>
      <w:proofErr w:type="spellEnd"/>
      <w:r w:rsidRPr="00DD346F">
        <w:rPr>
          <w:rFonts w:ascii="Times New Roman" w:eastAsia="Times New Roman" w:hAnsi="Times New Roman" w:cs="Times New Roman"/>
          <w:sz w:val="24"/>
          <w:szCs w:val="24"/>
          <w:lang w:val="en-GB" w:eastAsia="cs-CZ"/>
        </w:rPr>
        <w:t xml:space="preserve"> H. </w:t>
      </w:r>
      <w:r>
        <w:rPr>
          <w:rFonts w:ascii="Times New Roman" w:eastAsia="Times New Roman" w:hAnsi="Times New Roman" w:cs="Times New Roman"/>
          <w:sz w:val="24"/>
          <w:szCs w:val="24"/>
          <w:lang w:val="en-GB" w:eastAsia="cs-CZ"/>
        </w:rPr>
        <w:t>(</w:t>
      </w:r>
      <w:r w:rsidRPr="00DD346F">
        <w:rPr>
          <w:rFonts w:ascii="Times New Roman" w:eastAsia="Times New Roman" w:hAnsi="Times New Roman" w:cs="Times New Roman"/>
          <w:sz w:val="24"/>
          <w:szCs w:val="24"/>
          <w:lang w:val="en-GB" w:eastAsia="cs-CZ"/>
        </w:rPr>
        <w:t>1984</w:t>
      </w:r>
      <w:r>
        <w:rPr>
          <w:rFonts w:ascii="Times New Roman" w:eastAsia="Times New Roman" w:hAnsi="Times New Roman" w:cs="Times New Roman"/>
          <w:sz w:val="24"/>
          <w:szCs w:val="24"/>
          <w:lang w:val="en-GB" w:eastAsia="cs-CZ"/>
        </w:rPr>
        <w:t>)</w:t>
      </w:r>
      <w:r w:rsidRPr="00DD346F">
        <w:rPr>
          <w:rFonts w:ascii="Times New Roman" w:eastAsia="Times New Roman" w:hAnsi="Times New Roman" w:cs="Times New Roman"/>
          <w:sz w:val="24"/>
          <w:szCs w:val="24"/>
          <w:lang w:val="en-GB" w:eastAsia="cs-CZ"/>
        </w:rPr>
        <w:t>: Trace elements in soils and plants, CKC Press, USA.</w:t>
      </w:r>
    </w:p>
    <w:p w:rsidR="001F59C3" w:rsidRPr="006B2284" w:rsidRDefault="001F59C3" w:rsidP="001F59C3">
      <w:pPr>
        <w:spacing w:after="120"/>
        <w:rPr>
          <w:rFonts w:ascii="Times New Roman" w:eastAsia="Times New Roman" w:hAnsi="Times New Roman" w:cs="Times New Roman"/>
          <w:sz w:val="24"/>
          <w:szCs w:val="24"/>
          <w:lang w:val="en-GB" w:eastAsia="cs-CZ"/>
        </w:rPr>
      </w:pPr>
      <w:r w:rsidRPr="006B2284">
        <w:rPr>
          <w:rFonts w:ascii="Times New Roman" w:eastAsia="Times New Roman" w:hAnsi="Times New Roman" w:cs="Times New Roman"/>
          <w:sz w:val="24"/>
          <w:szCs w:val="24"/>
          <w:lang w:val="en-GB" w:eastAsia="cs-CZ"/>
        </w:rPr>
        <w:t xml:space="preserve">Kanazawa S., Mori K. </w:t>
      </w:r>
      <w:r>
        <w:rPr>
          <w:rFonts w:ascii="Times New Roman" w:eastAsia="Times New Roman" w:hAnsi="Times New Roman" w:cs="Times New Roman"/>
          <w:sz w:val="24"/>
          <w:szCs w:val="24"/>
          <w:lang w:val="en-GB" w:eastAsia="cs-CZ"/>
        </w:rPr>
        <w:t>(</w:t>
      </w:r>
      <w:r w:rsidRPr="006B2284">
        <w:rPr>
          <w:rFonts w:ascii="Times New Roman" w:eastAsia="Times New Roman" w:hAnsi="Times New Roman" w:cs="Times New Roman"/>
          <w:sz w:val="24"/>
          <w:szCs w:val="24"/>
          <w:lang w:val="en-GB" w:eastAsia="cs-CZ"/>
        </w:rPr>
        <w:t>1996</w:t>
      </w:r>
      <w:r>
        <w:rPr>
          <w:rFonts w:ascii="Times New Roman" w:eastAsia="Times New Roman" w:hAnsi="Times New Roman" w:cs="Times New Roman"/>
          <w:sz w:val="24"/>
          <w:szCs w:val="24"/>
          <w:lang w:val="en-GB" w:eastAsia="cs-CZ"/>
        </w:rPr>
        <w:t>)</w:t>
      </w:r>
      <w:r w:rsidRPr="006B2284">
        <w:rPr>
          <w:rFonts w:ascii="Times New Roman" w:eastAsia="Times New Roman" w:hAnsi="Times New Roman" w:cs="Times New Roman"/>
          <w:sz w:val="24"/>
          <w:szCs w:val="24"/>
          <w:lang w:val="en-GB" w:eastAsia="cs-CZ"/>
        </w:rPr>
        <w:t>: Isolation of cadmium-resistant bacteria and their resistance mechanisms. Soil Scienc</w:t>
      </w:r>
      <w:r>
        <w:rPr>
          <w:rFonts w:ascii="Times New Roman" w:eastAsia="Times New Roman" w:hAnsi="Times New Roman" w:cs="Times New Roman"/>
          <w:sz w:val="24"/>
          <w:szCs w:val="24"/>
          <w:lang w:val="en-GB" w:eastAsia="cs-CZ"/>
        </w:rPr>
        <w:t>e Plant Nutrition, 1996, 42 (4):</w:t>
      </w:r>
      <w:r w:rsidRPr="006B2284">
        <w:rPr>
          <w:rFonts w:ascii="Times New Roman" w:eastAsia="Times New Roman" w:hAnsi="Times New Roman" w:cs="Times New Roman"/>
          <w:sz w:val="24"/>
          <w:szCs w:val="24"/>
          <w:lang w:val="en-GB" w:eastAsia="cs-CZ"/>
        </w:rPr>
        <w:t xml:space="preserve"> 731-736.</w:t>
      </w:r>
    </w:p>
    <w:p w:rsidR="001F59C3" w:rsidRPr="0017145E" w:rsidRDefault="001F59C3" w:rsidP="001F59C3">
      <w:pPr>
        <w:spacing w:after="120"/>
        <w:rPr>
          <w:rFonts w:ascii="Times New Roman" w:eastAsia="Times New Roman" w:hAnsi="Times New Roman" w:cs="Times New Roman"/>
          <w:sz w:val="24"/>
          <w:szCs w:val="24"/>
          <w:lang w:val="en-GB" w:eastAsia="cs-CZ"/>
        </w:rPr>
      </w:pPr>
      <w:r w:rsidRPr="0017145E">
        <w:rPr>
          <w:rFonts w:ascii="Times New Roman" w:eastAsia="Times New Roman" w:hAnsi="Times New Roman" w:cs="Times New Roman"/>
          <w:sz w:val="24"/>
          <w:szCs w:val="24"/>
          <w:lang w:val="en-GB" w:eastAsia="cs-CZ"/>
        </w:rPr>
        <w:t xml:space="preserve">Kelly J. J., Tate R. L. </w:t>
      </w:r>
      <w:r>
        <w:rPr>
          <w:rFonts w:ascii="Times New Roman" w:eastAsia="Times New Roman" w:hAnsi="Times New Roman" w:cs="Times New Roman"/>
          <w:sz w:val="24"/>
          <w:szCs w:val="24"/>
          <w:lang w:val="en-GB" w:eastAsia="cs-CZ"/>
        </w:rPr>
        <w:t>(</w:t>
      </w:r>
      <w:r w:rsidRPr="0017145E">
        <w:rPr>
          <w:rFonts w:ascii="Times New Roman" w:eastAsia="Times New Roman" w:hAnsi="Times New Roman" w:cs="Times New Roman"/>
          <w:sz w:val="24"/>
          <w:szCs w:val="24"/>
          <w:lang w:val="en-GB" w:eastAsia="cs-CZ"/>
        </w:rPr>
        <w:t>1998</w:t>
      </w:r>
      <w:r>
        <w:rPr>
          <w:rFonts w:ascii="Times New Roman" w:eastAsia="Times New Roman" w:hAnsi="Times New Roman" w:cs="Times New Roman"/>
          <w:sz w:val="24"/>
          <w:szCs w:val="24"/>
          <w:lang w:val="en-GB" w:eastAsia="cs-CZ"/>
        </w:rPr>
        <w:t>)</w:t>
      </w:r>
      <w:r w:rsidRPr="0017145E">
        <w:rPr>
          <w:rFonts w:ascii="Times New Roman" w:eastAsia="Times New Roman" w:hAnsi="Times New Roman" w:cs="Times New Roman"/>
          <w:sz w:val="24"/>
          <w:szCs w:val="24"/>
          <w:lang w:val="en-GB" w:eastAsia="cs-CZ"/>
        </w:rPr>
        <w:t>: Use of BIOLOG for the analysis of microbial communities from zinc-contaminated soils. Journal Environ. Qual., 1998, 27</w:t>
      </w:r>
      <w:r>
        <w:rPr>
          <w:rFonts w:ascii="Times New Roman" w:eastAsia="Times New Roman" w:hAnsi="Times New Roman" w:cs="Times New Roman"/>
          <w:sz w:val="24"/>
          <w:szCs w:val="24"/>
          <w:lang w:val="en-GB" w:eastAsia="cs-CZ"/>
        </w:rPr>
        <w:t xml:space="preserve">: </w:t>
      </w:r>
      <w:r w:rsidRPr="0017145E">
        <w:rPr>
          <w:rFonts w:ascii="Times New Roman" w:eastAsia="Times New Roman" w:hAnsi="Times New Roman" w:cs="Times New Roman"/>
          <w:sz w:val="24"/>
          <w:szCs w:val="24"/>
          <w:lang w:val="en-GB" w:eastAsia="cs-CZ"/>
        </w:rPr>
        <w:t>600-608.</w:t>
      </w:r>
    </w:p>
    <w:p w:rsidR="001F59C3" w:rsidRPr="0017145E" w:rsidRDefault="001F59C3" w:rsidP="001F59C3">
      <w:pPr>
        <w:spacing w:after="120"/>
        <w:rPr>
          <w:rFonts w:ascii="Times New Roman" w:eastAsia="Times New Roman" w:hAnsi="Times New Roman" w:cs="Times New Roman"/>
          <w:sz w:val="24"/>
          <w:szCs w:val="24"/>
          <w:lang w:val="en-GB" w:eastAsia="cs-CZ"/>
        </w:rPr>
      </w:pPr>
      <w:proofErr w:type="spellStart"/>
      <w:r w:rsidRPr="0017145E">
        <w:rPr>
          <w:rFonts w:ascii="Times New Roman" w:eastAsia="Times New Roman" w:hAnsi="Times New Roman" w:cs="Times New Roman"/>
          <w:sz w:val="24"/>
          <w:szCs w:val="24"/>
          <w:lang w:val="en-GB" w:eastAsia="cs-CZ"/>
        </w:rPr>
        <w:t>Kozák</w:t>
      </w:r>
      <w:proofErr w:type="spellEnd"/>
      <w:r w:rsidRPr="0017145E">
        <w:rPr>
          <w:rFonts w:ascii="Times New Roman" w:eastAsia="Times New Roman" w:hAnsi="Times New Roman" w:cs="Times New Roman"/>
          <w:sz w:val="24"/>
          <w:szCs w:val="24"/>
          <w:lang w:val="en-GB" w:eastAsia="cs-CZ"/>
        </w:rPr>
        <w:t xml:space="preserve">, J., </w:t>
      </w:r>
      <w:proofErr w:type="spellStart"/>
      <w:r w:rsidRPr="0017145E">
        <w:rPr>
          <w:rFonts w:ascii="Times New Roman" w:eastAsia="Times New Roman" w:hAnsi="Times New Roman" w:cs="Times New Roman"/>
          <w:sz w:val="24"/>
          <w:szCs w:val="24"/>
          <w:lang w:val="en-GB" w:eastAsia="cs-CZ"/>
        </w:rPr>
        <w:t>Jehlička</w:t>
      </w:r>
      <w:proofErr w:type="spellEnd"/>
      <w:r w:rsidRPr="0017145E">
        <w:rPr>
          <w:rFonts w:ascii="Times New Roman" w:eastAsia="Times New Roman" w:hAnsi="Times New Roman" w:cs="Times New Roman"/>
          <w:sz w:val="24"/>
          <w:szCs w:val="24"/>
          <w:lang w:val="en-GB" w:eastAsia="cs-CZ"/>
        </w:rPr>
        <w:t xml:space="preserve">, J. </w:t>
      </w:r>
      <w:r>
        <w:rPr>
          <w:rFonts w:ascii="Times New Roman" w:eastAsia="Times New Roman" w:hAnsi="Times New Roman" w:cs="Times New Roman"/>
          <w:sz w:val="24"/>
          <w:szCs w:val="24"/>
          <w:lang w:val="en-GB" w:eastAsia="cs-CZ"/>
        </w:rPr>
        <w:t>(</w:t>
      </w:r>
      <w:r w:rsidRPr="0017145E">
        <w:rPr>
          <w:rFonts w:ascii="Times New Roman" w:eastAsia="Times New Roman" w:hAnsi="Times New Roman" w:cs="Times New Roman"/>
          <w:sz w:val="24"/>
          <w:szCs w:val="24"/>
          <w:lang w:val="en-GB" w:eastAsia="cs-CZ"/>
        </w:rPr>
        <w:t>1991</w:t>
      </w:r>
      <w:r>
        <w:rPr>
          <w:rFonts w:ascii="Times New Roman" w:eastAsia="Times New Roman" w:hAnsi="Times New Roman" w:cs="Times New Roman"/>
          <w:sz w:val="24"/>
          <w:szCs w:val="24"/>
          <w:lang w:val="en-GB" w:eastAsia="cs-CZ"/>
        </w:rPr>
        <w:t>)</w:t>
      </w:r>
      <w:r w:rsidRPr="0017145E">
        <w:rPr>
          <w:rFonts w:ascii="Times New Roman" w:eastAsia="Times New Roman" w:hAnsi="Times New Roman" w:cs="Times New Roman"/>
          <w:sz w:val="24"/>
          <w:szCs w:val="24"/>
          <w:lang w:val="en-GB" w:eastAsia="cs-CZ"/>
        </w:rPr>
        <w:t xml:space="preserve">: </w:t>
      </w:r>
      <w:proofErr w:type="spellStart"/>
      <w:r w:rsidRPr="0017145E">
        <w:rPr>
          <w:rFonts w:ascii="Times New Roman" w:eastAsia="Times New Roman" w:hAnsi="Times New Roman" w:cs="Times New Roman"/>
          <w:sz w:val="24"/>
          <w:szCs w:val="24"/>
          <w:lang w:val="en-GB" w:eastAsia="cs-CZ"/>
        </w:rPr>
        <w:t>Selektivní</w:t>
      </w:r>
      <w:proofErr w:type="spellEnd"/>
      <w:r w:rsidRPr="0017145E">
        <w:rPr>
          <w:rFonts w:ascii="Times New Roman" w:eastAsia="Times New Roman" w:hAnsi="Times New Roman" w:cs="Times New Roman"/>
          <w:sz w:val="24"/>
          <w:szCs w:val="24"/>
          <w:lang w:val="en-GB" w:eastAsia="cs-CZ"/>
        </w:rPr>
        <w:t xml:space="preserve"> </w:t>
      </w:r>
      <w:proofErr w:type="spellStart"/>
      <w:r w:rsidRPr="0017145E">
        <w:rPr>
          <w:rFonts w:ascii="Times New Roman" w:eastAsia="Times New Roman" w:hAnsi="Times New Roman" w:cs="Times New Roman"/>
          <w:sz w:val="24"/>
          <w:szCs w:val="24"/>
          <w:lang w:val="en-GB" w:eastAsia="cs-CZ"/>
        </w:rPr>
        <w:t>adsorpce</w:t>
      </w:r>
      <w:proofErr w:type="spellEnd"/>
      <w:r w:rsidRPr="0017145E">
        <w:rPr>
          <w:rFonts w:ascii="Times New Roman" w:eastAsia="Times New Roman" w:hAnsi="Times New Roman" w:cs="Times New Roman"/>
          <w:sz w:val="24"/>
          <w:szCs w:val="24"/>
          <w:lang w:val="en-GB" w:eastAsia="cs-CZ"/>
        </w:rPr>
        <w:t xml:space="preserve"> </w:t>
      </w:r>
      <w:proofErr w:type="spellStart"/>
      <w:r w:rsidRPr="0017145E">
        <w:rPr>
          <w:rFonts w:ascii="Times New Roman" w:eastAsia="Times New Roman" w:hAnsi="Times New Roman" w:cs="Times New Roman"/>
          <w:sz w:val="24"/>
          <w:szCs w:val="24"/>
          <w:lang w:val="en-GB" w:eastAsia="cs-CZ"/>
        </w:rPr>
        <w:t>Pb</w:t>
      </w:r>
      <w:proofErr w:type="spellEnd"/>
      <w:r w:rsidRPr="0017145E">
        <w:rPr>
          <w:rFonts w:ascii="Times New Roman" w:eastAsia="Times New Roman" w:hAnsi="Times New Roman" w:cs="Times New Roman"/>
          <w:sz w:val="24"/>
          <w:szCs w:val="24"/>
          <w:lang w:val="en-GB" w:eastAsia="cs-CZ"/>
        </w:rPr>
        <w:t xml:space="preserve"> a Cd </w:t>
      </w:r>
      <w:proofErr w:type="spellStart"/>
      <w:r w:rsidRPr="0017145E">
        <w:rPr>
          <w:rFonts w:ascii="Times New Roman" w:eastAsia="Times New Roman" w:hAnsi="Times New Roman" w:cs="Times New Roman"/>
          <w:sz w:val="24"/>
          <w:szCs w:val="24"/>
          <w:lang w:val="en-GB" w:eastAsia="cs-CZ"/>
        </w:rPr>
        <w:t>vybranými</w:t>
      </w:r>
      <w:proofErr w:type="spellEnd"/>
      <w:r w:rsidRPr="0017145E">
        <w:rPr>
          <w:rFonts w:ascii="Times New Roman" w:eastAsia="Times New Roman" w:hAnsi="Times New Roman" w:cs="Times New Roman"/>
          <w:sz w:val="24"/>
          <w:szCs w:val="24"/>
          <w:lang w:val="en-GB" w:eastAsia="cs-CZ"/>
        </w:rPr>
        <w:t xml:space="preserve"> </w:t>
      </w:r>
      <w:proofErr w:type="spellStart"/>
      <w:r w:rsidRPr="0017145E">
        <w:rPr>
          <w:rFonts w:ascii="Times New Roman" w:eastAsia="Times New Roman" w:hAnsi="Times New Roman" w:cs="Times New Roman"/>
          <w:sz w:val="24"/>
          <w:szCs w:val="24"/>
          <w:lang w:val="en-GB" w:eastAsia="cs-CZ"/>
        </w:rPr>
        <w:t>půdami</w:t>
      </w:r>
      <w:proofErr w:type="spellEnd"/>
      <w:r w:rsidRPr="0017145E">
        <w:rPr>
          <w:rFonts w:ascii="Times New Roman" w:eastAsia="Times New Roman" w:hAnsi="Times New Roman" w:cs="Times New Roman"/>
          <w:sz w:val="24"/>
          <w:szCs w:val="24"/>
          <w:lang w:val="en-GB" w:eastAsia="cs-CZ"/>
        </w:rPr>
        <w:t xml:space="preserve">. </w:t>
      </w:r>
      <w:proofErr w:type="spellStart"/>
      <w:r w:rsidRPr="0017145E">
        <w:rPr>
          <w:rFonts w:ascii="Times New Roman" w:eastAsia="Times New Roman" w:hAnsi="Times New Roman" w:cs="Times New Roman"/>
          <w:sz w:val="24"/>
          <w:szCs w:val="24"/>
          <w:lang w:val="en-GB" w:eastAsia="cs-CZ"/>
        </w:rPr>
        <w:t>Sborník</w:t>
      </w:r>
      <w:proofErr w:type="spellEnd"/>
      <w:r w:rsidRPr="0017145E">
        <w:rPr>
          <w:rFonts w:ascii="Times New Roman" w:eastAsia="Times New Roman" w:hAnsi="Times New Roman" w:cs="Times New Roman"/>
          <w:sz w:val="24"/>
          <w:szCs w:val="24"/>
          <w:lang w:val="en-GB" w:eastAsia="cs-CZ"/>
        </w:rPr>
        <w:t xml:space="preserve"> VŠZ Praha, </w:t>
      </w:r>
      <w:proofErr w:type="spellStart"/>
      <w:r w:rsidRPr="0017145E">
        <w:rPr>
          <w:rFonts w:ascii="Times New Roman" w:eastAsia="Times New Roman" w:hAnsi="Times New Roman" w:cs="Times New Roman"/>
          <w:sz w:val="24"/>
          <w:szCs w:val="24"/>
          <w:lang w:val="en-GB" w:eastAsia="cs-CZ"/>
        </w:rPr>
        <w:t>řada</w:t>
      </w:r>
      <w:proofErr w:type="spellEnd"/>
      <w:r w:rsidRPr="0017145E">
        <w:rPr>
          <w:rFonts w:ascii="Times New Roman" w:eastAsia="Times New Roman" w:hAnsi="Times New Roman" w:cs="Times New Roman"/>
          <w:sz w:val="24"/>
          <w:szCs w:val="24"/>
          <w:lang w:val="en-GB" w:eastAsia="cs-CZ"/>
        </w:rPr>
        <w:t xml:space="preserve"> </w:t>
      </w:r>
      <w:proofErr w:type="gramStart"/>
      <w:r w:rsidRPr="0017145E">
        <w:rPr>
          <w:rFonts w:ascii="Times New Roman" w:eastAsia="Times New Roman" w:hAnsi="Times New Roman" w:cs="Times New Roman"/>
          <w:sz w:val="24"/>
          <w:szCs w:val="24"/>
          <w:lang w:val="en-GB" w:eastAsia="cs-CZ"/>
        </w:rPr>
        <w:t>A</w:t>
      </w:r>
      <w:proofErr w:type="gramEnd"/>
      <w:r w:rsidRPr="0017145E">
        <w:rPr>
          <w:rFonts w:ascii="Times New Roman" w:eastAsia="Times New Roman" w:hAnsi="Times New Roman" w:cs="Times New Roman"/>
          <w:sz w:val="24"/>
          <w:szCs w:val="24"/>
          <w:lang w:val="en-GB" w:eastAsia="cs-CZ"/>
        </w:rPr>
        <w:t>, 1991, 53</w:t>
      </w:r>
      <w:r>
        <w:rPr>
          <w:rFonts w:ascii="Times New Roman" w:eastAsia="Times New Roman" w:hAnsi="Times New Roman" w:cs="Times New Roman"/>
          <w:sz w:val="24"/>
          <w:szCs w:val="24"/>
          <w:lang w:val="en-GB" w:eastAsia="cs-CZ"/>
        </w:rPr>
        <w:t xml:space="preserve">: </w:t>
      </w:r>
      <w:r w:rsidRPr="0017145E">
        <w:rPr>
          <w:rFonts w:ascii="Times New Roman" w:eastAsia="Times New Roman" w:hAnsi="Times New Roman" w:cs="Times New Roman"/>
          <w:sz w:val="24"/>
          <w:szCs w:val="24"/>
          <w:lang w:val="en-GB" w:eastAsia="cs-CZ"/>
        </w:rPr>
        <w:t>129-138.</w:t>
      </w:r>
    </w:p>
    <w:p w:rsidR="001F59C3" w:rsidRPr="00B94F7E" w:rsidRDefault="001F59C3" w:rsidP="001F59C3">
      <w:pPr>
        <w:spacing w:after="120"/>
        <w:rPr>
          <w:rFonts w:ascii="Times New Roman" w:eastAsia="Times New Roman" w:hAnsi="Times New Roman" w:cs="Times New Roman"/>
          <w:sz w:val="24"/>
          <w:szCs w:val="24"/>
          <w:lang w:val="en-GB" w:eastAsia="cs-CZ"/>
        </w:rPr>
      </w:pPr>
      <w:proofErr w:type="spellStart"/>
      <w:r w:rsidRPr="00665FC3">
        <w:rPr>
          <w:rFonts w:ascii="Times New Roman" w:eastAsia="Times New Roman" w:hAnsi="Times New Roman" w:cs="Times New Roman"/>
          <w:sz w:val="24"/>
          <w:szCs w:val="24"/>
          <w:lang w:val="en-GB" w:eastAsia="cs-CZ"/>
        </w:rPr>
        <w:t>Krishnamurti</w:t>
      </w:r>
      <w:proofErr w:type="spellEnd"/>
      <w:r w:rsidRPr="00665FC3">
        <w:rPr>
          <w:rFonts w:ascii="Times New Roman" w:eastAsia="Times New Roman" w:hAnsi="Times New Roman" w:cs="Times New Roman"/>
          <w:sz w:val="24"/>
          <w:szCs w:val="24"/>
          <w:lang w:val="en-GB" w:eastAsia="cs-CZ"/>
        </w:rPr>
        <w:t xml:space="preserve"> G. S. R., </w:t>
      </w:r>
      <w:proofErr w:type="spellStart"/>
      <w:r w:rsidRPr="00665FC3">
        <w:rPr>
          <w:rFonts w:ascii="Times New Roman" w:eastAsia="Times New Roman" w:hAnsi="Times New Roman" w:cs="Times New Roman"/>
          <w:sz w:val="24"/>
          <w:szCs w:val="24"/>
          <w:lang w:val="en-GB" w:eastAsia="cs-CZ"/>
        </w:rPr>
        <w:t>Cieslinski</w:t>
      </w:r>
      <w:proofErr w:type="spellEnd"/>
      <w:r w:rsidRPr="00665FC3">
        <w:rPr>
          <w:rFonts w:ascii="Times New Roman" w:eastAsia="Times New Roman" w:hAnsi="Times New Roman" w:cs="Times New Roman"/>
          <w:sz w:val="24"/>
          <w:szCs w:val="24"/>
          <w:lang w:val="en-GB" w:eastAsia="cs-CZ"/>
        </w:rPr>
        <w:t xml:space="preserve"> G., </w:t>
      </w:r>
      <w:proofErr w:type="gramStart"/>
      <w:r w:rsidRPr="00665FC3">
        <w:rPr>
          <w:rFonts w:ascii="Times New Roman" w:eastAsia="Times New Roman" w:hAnsi="Times New Roman" w:cs="Times New Roman"/>
          <w:sz w:val="24"/>
          <w:szCs w:val="24"/>
          <w:lang w:val="en-GB" w:eastAsia="cs-CZ"/>
        </w:rPr>
        <w:t>Huang</w:t>
      </w:r>
      <w:proofErr w:type="gramEnd"/>
      <w:r w:rsidRPr="00665FC3">
        <w:rPr>
          <w:rFonts w:ascii="Times New Roman" w:eastAsia="Times New Roman" w:hAnsi="Times New Roman" w:cs="Times New Roman"/>
          <w:sz w:val="24"/>
          <w:szCs w:val="24"/>
          <w:lang w:val="en-GB" w:eastAsia="cs-CZ"/>
        </w:rPr>
        <w:t xml:space="preserve"> P. M., Van Rees K. C. J. </w:t>
      </w:r>
      <w:r>
        <w:rPr>
          <w:rFonts w:ascii="Times New Roman" w:eastAsia="Times New Roman" w:hAnsi="Times New Roman" w:cs="Times New Roman"/>
          <w:sz w:val="24"/>
          <w:szCs w:val="24"/>
          <w:lang w:val="en-GB" w:eastAsia="cs-CZ"/>
        </w:rPr>
        <w:t>(</w:t>
      </w:r>
      <w:r w:rsidRPr="00665FC3">
        <w:rPr>
          <w:rFonts w:ascii="Times New Roman" w:eastAsia="Times New Roman" w:hAnsi="Times New Roman" w:cs="Times New Roman"/>
          <w:sz w:val="24"/>
          <w:szCs w:val="24"/>
          <w:lang w:val="en-GB" w:eastAsia="cs-CZ"/>
        </w:rPr>
        <w:t>1997</w:t>
      </w:r>
      <w:r>
        <w:rPr>
          <w:rFonts w:ascii="Times New Roman" w:eastAsia="Times New Roman" w:hAnsi="Times New Roman" w:cs="Times New Roman"/>
          <w:sz w:val="24"/>
          <w:szCs w:val="24"/>
          <w:lang w:val="en-GB" w:eastAsia="cs-CZ"/>
        </w:rPr>
        <w:t>):</w:t>
      </w:r>
      <w:r w:rsidRPr="00665FC3">
        <w:rPr>
          <w:rFonts w:ascii="Times New Roman" w:eastAsia="Times New Roman" w:hAnsi="Times New Roman" w:cs="Times New Roman"/>
          <w:sz w:val="24"/>
          <w:szCs w:val="24"/>
          <w:lang w:val="en-GB" w:eastAsia="cs-CZ"/>
        </w:rPr>
        <w:t xml:space="preserve"> Kinetics of cadmium release from soil as influenced by organic acids: Implication in cadmium availability. Journal </w:t>
      </w:r>
      <w:proofErr w:type="spellStart"/>
      <w:r w:rsidRPr="00665FC3">
        <w:rPr>
          <w:rFonts w:ascii="Times New Roman" w:eastAsia="Times New Roman" w:hAnsi="Times New Roman" w:cs="Times New Roman"/>
          <w:sz w:val="24"/>
          <w:szCs w:val="24"/>
          <w:lang w:val="en-GB" w:eastAsia="cs-CZ"/>
        </w:rPr>
        <w:t>Enviromental</w:t>
      </w:r>
      <w:proofErr w:type="spellEnd"/>
      <w:r w:rsidRPr="00665FC3">
        <w:rPr>
          <w:rFonts w:ascii="Times New Roman" w:eastAsia="Times New Roman" w:hAnsi="Times New Roman" w:cs="Times New Roman"/>
          <w:sz w:val="24"/>
          <w:szCs w:val="24"/>
          <w:lang w:val="en-GB" w:eastAsia="cs-CZ"/>
        </w:rPr>
        <w:t xml:space="preserve"> Quality, 1997 (26)</w:t>
      </w:r>
      <w:r>
        <w:rPr>
          <w:rFonts w:ascii="Times New Roman" w:eastAsia="Times New Roman" w:hAnsi="Times New Roman" w:cs="Times New Roman"/>
          <w:sz w:val="24"/>
          <w:szCs w:val="24"/>
          <w:lang w:val="en-GB" w:eastAsia="cs-CZ"/>
        </w:rPr>
        <w:t xml:space="preserve">: </w:t>
      </w:r>
      <w:r w:rsidRPr="00665FC3">
        <w:rPr>
          <w:rFonts w:ascii="Times New Roman" w:eastAsia="Times New Roman" w:hAnsi="Times New Roman" w:cs="Times New Roman"/>
          <w:sz w:val="24"/>
          <w:szCs w:val="24"/>
          <w:lang w:val="en-GB" w:eastAsia="cs-CZ"/>
        </w:rPr>
        <w:t>271-2</w:t>
      </w:r>
      <w:r>
        <w:rPr>
          <w:rFonts w:ascii="Times New Roman" w:eastAsia="Times New Roman" w:hAnsi="Times New Roman" w:cs="Times New Roman"/>
          <w:sz w:val="24"/>
          <w:szCs w:val="24"/>
          <w:lang w:val="en-GB" w:eastAsia="cs-CZ"/>
        </w:rPr>
        <w:t>77.</w:t>
      </w:r>
    </w:p>
    <w:p w:rsidR="001F59C3" w:rsidRPr="003F04C6" w:rsidRDefault="001F59C3" w:rsidP="001F59C3">
      <w:pPr>
        <w:spacing w:after="120"/>
        <w:rPr>
          <w:rFonts w:ascii="Times New Roman" w:eastAsia="Times New Roman" w:hAnsi="Times New Roman" w:cs="Times New Roman"/>
          <w:sz w:val="24"/>
          <w:szCs w:val="24"/>
          <w:lang w:val="en-GB" w:eastAsia="cs-CZ"/>
        </w:rPr>
      </w:pPr>
      <w:proofErr w:type="spellStart"/>
      <w:r w:rsidRPr="003F04C6">
        <w:rPr>
          <w:rFonts w:ascii="Times New Roman" w:eastAsia="Times New Roman" w:hAnsi="Times New Roman" w:cs="Times New Roman"/>
          <w:sz w:val="24"/>
          <w:szCs w:val="24"/>
          <w:lang w:val="en-GB" w:eastAsia="cs-CZ"/>
        </w:rPr>
        <w:t>Lebourg</w:t>
      </w:r>
      <w:proofErr w:type="spellEnd"/>
      <w:r w:rsidRPr="003F04C6">
        <w:rPr>
          <w:rFonts w:ascii="Times New Roman" w:eastAsia="Times New Roman" w:hAnsi="Times New Roman" w:cs="Times New Roman"/>
          <w:sz w:val="24"/>
          <w:szCs w:val="24"/>
          <w:lang w:val="en-GB" w:eastAsia="cs-CZ"/>
        </w:rPr>
        <w:t xml:space="preserve"> A., </w:t>
      </w:r>
      <w:proofErr w:type="spellStart"/>
      <w:r w:rsidRPr="003F04C6">
        <w:rPr>
          <w:rFonts w:ascii="Times New Roman" w:eastAsia="Times New Roman" w:hAnsi="Times New Roman" w:cs="Times New Roman"/>
          <w:sz w:val="24"/>
          <w:szCs w:val="24"/>
          <w:lang w:val="en-GB" w:eastAsia="cs-CZ"/>
        </w:rPr>
        <w:t>Sterckeman</w:t>
      </w:r>
      <w:proofErr w:type="spellEnd"/>
      <w:r w:rsidRPr="003F04C6">
        <w:rPr>
          <w:rFonts w:ascii="Times New Roman" w:eastAsia="Times New Roman" w:hAnsi="Times New Roman" w:cs="Times New Roman"/>
          <w:sz w:val="24"/>
          <w:szCs w:val="24"/>
          <w:lang w:val="en-GB" w:eastAsia="cs-CZ"/>
        </w:rPr>
        <w:t xml:space="preserve"> T., </w:t>
      </w:r>
      <w:proofErr w:type="spellStart"/>
      <w:proofErr w:type="gramStart"/>
      <w:r w:rsidRPr="003F04C6">
        <w:rPr>
          <w:rFonts w:ascii="Times New Roman" w:eastAsia="Times New Roman" w:hAnsi="Times New Roman" w:cs="Times New Roman"/>
          <w:sz w:val="24"/>
          <w:szCs w:val="24"/>
          <w:lang w:val="en-GB" w:eastAsia="cs-CZ"/>
        </w:rPr>
        <w:t>Ciesielski</w:t>
      </w:r>
      <w:proofErr w:type="spellEnd"/>
      <w:proofErr w:type="gramEnd"/>
      <w:r w:rsidRPr="003F04C6">
        <w:rPr>
          <w:rFonts w:ascii="Times New Roman" w:eastAsia="Times New Roman" w:hAnsi="Times New Roman" w:cs="Times New Roman"/>
          <w:sz w:val="24"/>
          <w:szCs w:val="24"/>
          <w:lang w:val="en-GB" w:eastAsia="cs-CZ"/>
        </w:rPr>
        <w:t xml:space="preserve"> H., </w:t>
      </w:r>
      <w:proofErr w:type="spellStart"/>
      <w:r w:rsidRPr="003F04C6">
        <w:rPr>
          <w:rFonts w:ascii="Times New Roman" w:eastAsia="Times New Roman" w:hAnsi="Times New Roman" w:cs="Times New Roman"/>
          <w:sz w:val="24"/>
          <w:szCs w:val="24"/>
          <w:lang w:val="en-GB" w:eastAsia="cs-CZ"/>
        </w:rPr>
        <w:t>Proix</w:t>
      </w:r>
      <w:proofErr w:type="spellEnd"/>
      <w:r w:rsidRPr="003F04C6">
        <w:rPr>
          <w:rFonts w:ascii="Times New Roman" w:eastAsia="Times New Roman" w:hAnsi="Times New Roman" w:cs="Times New Roman"/>
          <w:sz w:val="24"/>
          <w:szCs w:val="24"/>
          <w:lang w:val="en-GB" w:eastAsia="cs-CZ"/>
        </w:rPr>
        <w:t xml:space="preserve"> N. </w:t>
      </w:r>
      <w:r>
        <w:rPr>
          <w:rFonts w:ascii="Times New Roman" w:eastAsia="Times New Roman" w:hAnsi="Times New Roman" w:cs="Times New Roman"/>
          <w:sz w:val="24"/>
          <w:szCs w:val="24"/>
          <w:lang w:val="en-GB" w:eastAsia="cs-CZ"/>
        </w:rPr>
        <w:t>(</w:t>
      </w:r>
      <w:r w:rsidRPr="003F04C6">
        <w:rPr>
          <w:rFonts w:ascii="Times New Roman" w:eastAsia="Times New Roman" w:hAnsi="Times New Roman" w:cs="Times New Roman"/>
          <w:sz w:val="24"/>
          <w:szCs w:val="24"/>
          <w:lang w:val="en-GB" w:eastAsia="cs-CZ"/>
        </w:rPr>
        <w:t>1998</w:t>
      </w:r>
      <w:r>
        <w:rPr>
          <w:rFonts w:ascii="Times New Roman" w:eastAsia="Times New Roman" w:hAnsi="Times New Roman" w:cs="Times New Roman"/>
          <w:sz w:val="24"/>
          <w:szCs w:val="24"/>
          <w:lang w:val="en-GB" w:eastAsia="cs-CZ"/>
        </w:rPr>
        <w:t>)</w:t>
      </w:r>
      <w:r w:rsidRPr="003F04C6">
        <w:rPr>
          <w:rFonts w:ascii="Times New Roman" w:eastAsia="Times New Roman" w:hAnsi="Times New Roman" w:cs="Times New Roman"/>
          <w:sz w:val="24"/>
          <w:szCs w:val="24"/>
          <w:lang w:val="en-GB" w:eastAsia="cs-CZ"/>
        </w:rPr>
        <w:t>:</w:t>
      </w:r>
      <w:r>
        <w:rPr>
          <w:rFonts w:ascii="Times New Roman" w:eastAsia="Times New Roman" w:hAnsi="Times New Roman" w:cs="Times New Roman"/>
          <w:sz w:val="24"/>
          <w:szCs w:val="24"/>
          <w:lang w:val="en-GB" w:eastAsia="cs-CZ"/>
        </w:rPr>
        <w:t xml:space="preserve"> </w:t>
      </w:r>
      <w:r w:rsidRPr="003F04C6">
        <w:rPr>
          <w:rFonts w:ascii="Times New Roman" w:eastAsia="Times New Roman" w:hAnsi="Times New Roman" w:cs="Times New Roman"/>
          <w:sz w:val="24"/>
          <w:szCs w:val="24"/>
          <w:lang w:val="en-GB" w:eastAsia="cs-CZ"/>
        </w:rPr>
        <w:t xml:space="preserve">Trace metal </w:t>
      </w:r>
      <w:proofErr w:type="spellStart"/>
      <w:r w:rsidRPr="003F04C6">
        <w:rPr>
          <w:rFonts w:ascii="Times New Roman" w:eastAsia="Times New Roman" w:hAnsi="Times New Roman" w:cs="Times New Roman"/>
          <w:sz w:val="24"/>
          <w:szCs w:val="24"/>
          <w:lang w:val="en-GB" w:eastAsia="cs-CZ"/>
        </w:rPr>
        <w:t>spetiation</w:t>
      </w:r>
      <w:proofErr w:type="spellEnd"/>
      <w:r w:rsidRPr="003F04C6">
        <w:rPr>
          <w:rFonts w:ascii="Times New Roman" w:eastAsia="Times New Roman" w:hAnsi="Times New Roman" w:cs="Times New Roman"/>
          <w:sz w:val="24"/>
          <w:szCs w:val="24"/>
          <w:lang w:val="en-GB" w:eastAsia="cs-CZ"/>
        </w:rPr>
        <w:t xml:space="preserve"> in three unbuffered salt solutions used to assess their bioavailability in soil. Journal Environ. Qual., 1998</w:t>
      </w:r>
      <w:r>
        <w:rPr>
          <w:rFonts w:ascii="Times New Roman" w:eastAsia="Times New Roman" w:hAnsi="Times New Roman" w:cs="Times New Roman"/>
          <w:sz w:val="24"/>
          <w:szCs w:val="24"/>
          <w:lang w:val="en-GB" w:eastAsia="cs-CZ"/>
        </w:rPr>
        <w:t>,</w:t>
      </w:r>
      <w:r w:rsidRPr="003F04C6">
        <w:rPr>
          <w:rFonts w:ascii="Times New Roman" w:eastAsia="Times New Roman" w:hAnsi="Times New Roman" w:cs="Times New Roman"/>
          <w:sz w:val="24"/>
          <w:szCs w:val="24"/>
          <w:lang w:val="en-GB" w:eastAsia="cs-CZ"/>
        </w:rPr>
        <w:t xml:space="preserve"> 27</w:t>
      </w:r>
      <w:r>
        <w:rPr>
          <w:rFonts w:ascii="Times New Roman" w:eastAsia="Times New Roman" w:hAnsi="Times New Roman" w:cs="Times New Roman"/>
          <w:sz w:val="24"/>
          <w:szCs w:val="24"/>
          <w:lang w:val="en-GB" w:eastAsia="cs-CZ"/>
        </w:rPr>
        <w:t xml:space="preserve">: </w:t>
      </w:r>
      <w:r w:rsidRPr="003F04C6">
        <w:rPr>
          <w:rFonts w:ascii="Times New Roman" w:eastAsia="Times New Roman" w:hAnsi="Times New Roman" w:cs="Times New Roman"/>
          <w:sz w:val="24"/>
          <w:szCs w:val="24"/>
          <w:lang w:val="en-GB" w:eastAsia="cs-CZ"/>
        </w:rPr>
        <w:t>584-590.</w:t>
      </w:r>
    </w:p>
    <w:p w:rsidR="001F59C3" w:rsidRPr="00B94F7E" w:rsidRDefault="001F59C3" w:rsidP="001F59C3">
      <w:pPr>
        <w:spacing w:after="120"/>
        <w:rPr>
          <w:rFonts w:ascii="Times New Roman" w:eastAsia="Times New Roman" w:hAnsi="Times New Roman" w:cs="Times New Roman"/>
          <w:sz w:val="24"/>
          <w:szCs w:val="24"/>
          <w:lang w:val="en-GB" w:eastAsia="cs-CZ"/>
        </w:rPr>
      </w:pPr>
      <w:proofErr w:type="spellStart"/>
      <w:r w:rsidRPr="002F5AA4">
        <w:rPr>
          <w:rFonts w:ascii="Times New Roman" w:eastAsia="Times New Roman" w:hAnsi="Times New Roman" w:cs="Times New Roman"/>
          <w:sz w:val="24"/>
          <w:szCs w:val="24"/>
          <w:lang w:val="en-GB" w:eastAsia="cs-CZ"/>
        </w:rPr>
        <w:t>Leukertová</w:t>
      </w:r>
      <w:proofErr w:type="spellEnd"/>
      <w:r w:rsidRPr="002F5AA4">
        <w:rPr>
          <w:rFonts w:ascii="Times New Roman" w:eastAsia="Times New Roman" w:hAnsi="Times New Roman" w:cs="Times New Roman"/>
          <w:sz w:val="24"/>
          <w:szCs w:val="24"/>
          <w:lang w:val="en-GB" w:eastAsia="cs-CZ"/>
        </w:rPr>
        <w:t xml:space="preserve"> J. </w:t>
      </w:r>
      <w:r>
        <w:rPr>
          <w:rFonts w:ascii="Times New Roman" w:eastAsia="Times New Roman" w:hAnsi="Times New Roman" w:cs="Times New Roman"/>
          <w:sz w:val="24"/>
          <w:szCs w:val="24"/>
          <w:lang w:val="en-GB" w:eastAsia="cs-CZ"/>
        </w:rPr>
        <w:t>(</w:t>
      </w:r>
      <w:r w:rsidRPr="002F5AA4">
        <w:rPr>
          <w:rFonts w:ascii="Times New Roman" w:eastAsia="Times New Roman" w:hAnsi="Times New Roman" w:cs="Times New Roman"/>
          <w:sz w:val="24"/>
          <w:szCs w:val="24"/>
          <w:lang w:val="en-GB" w:eastAsia="cs-CZ"/>
        </w:rPr>
        <w:t>1998</w:t>
      </w:r>
      <w:r>
        <w:rPr>
          <w:rFonts w:ascii="Times New Roman" w:eastAsia="Times New Roman" w:hAnsi="Times New Roman" w:cs="Times New Roman"/>
          <w:sz w:val="24"/>
          <w:szCs w:val="24"/>
          <w:lang w:val="en-GB" w:eastAsia="cs-CZ"/>
        </w:rPr>
        <w:t>)</w:t>
      </w:r>
      <w:r w:rsidRPr="002F5AA4">
        <w:rPr>
          <w:rFonts w:ascii="Times New Roman" w:eastAsia="Times New Roman" w:hAnsi="Times New Roman" w:cs="Times New Roman"/>
          <w:sz w:val="24"/>
          <w:szCs w:val="24"/>
          <w:lang w:val="en-GB" w:eastAsia="cs-CZ"/>
        </w:rPr>
        <w:t xml:space="preserve">: </w:t>
      </w:r>
      <w:proofErr w:type="spellStart"/>
      <w:r w:rsidRPr="002F5AA4">
        <w:rPr>
          <w:rFonts w:ascii="Times New Roman" w:eastAsia="Times New Roman" w:hAnsi="Times New Roman" w:cs="Times New Roman"/>
          <w:sz w:val="24"/>
          <w:szCs w:val="24"/>
          <w:lang w:val="en-GB" w:eastAsia="cs-CZ"/>
        </w:rPr>
        <w:t>Použití</w:t>
      </w:r>
      <w:proofErr w:type="spellEnd"/>
      <w:r w:rsidRPr="002F5AA4">
        <w:rPr>
          <w:rFonts w:ascii="Times New Roman" w:eastAsia="Times New Roman" w:hAnsi="Times New Roman" w:cs="Times New Roman"/>
          <w:sz w:val="24"/>
          <w:szCs w:val="24"/>
          <w:lang w:val="en-GB" w:eastAsia="cs-CZ"/>
        </w:rPr>
        <w:t xml:space="preserve"> </w:t>
      </w:r>
      <w:proofErr w:type="spellStart"/>
      <w:r w:rsidRPr="002F5AA4">
        <w:rPr>
          <w:rFonts w:ascii="Times New Roman" w:eastAsia="Times New Roman" w:hAnsi="Times New Roman" w:cs="Times New Roman"/>
          <w:sz w:val="24"/>
          <w:szCs w:val="24"/>
          <w:lang w:val="en-GB" w:eastAsia="cs-CZ"/>
        </w:rPr>
        <w:t>ovoce</w:t>
      </w:r>
      <w:proofErr w:type="spellEnd"/>
      <w:r w:rsidRPr="002F5AA4">
        <w:rPr>
          <w:rFonts w:ascii="Times New Roman" w:eastAsia="Times New Roman" w:hAnsi="Times New Roman" w:cs="Times New Roman"/>
          <w:sz w:val="24"/>
          <w:szCs w:val="24"/>
          <w:lang w:val="en-GB" w:eastAsia="cs-CZ"/>
        </w:rPr>
        <w:t xml:space="preserve">, </w:t>
      </w:r>
      <w:proofErr w:type="spellStart"/>
      <w:r w:rsidRPr="002F5AA4">
        <w:rPr>
          <w:rFonts w:ascii="Times New Roman" w:eastAsia="Times New Roman" w:hAnsi="Times New Roman" w:cs="Times New Roman"/>
          <w:sz w:val="24"/>
          <w:szCs w:val="24"/>
          <w:lang w:val="en-GB" w:eastAsia="cs-CZ"/>
        </w:rPr>
        <w:t>trávy</w:t>
      </w:r>
      <w:proofErr w:type="spellEnd"/>
      <w:r w:rsidRPr="002F5AA4">
        <w:rPr>
          <w:rFonts w:ascii="Times New Roman" w:eastAsia="Times New Roman" w:hAnsi="Times New Roman" w:cs="Times New Roman"/>
          <w:sz w:val="24"/>
          <w:szCs w:val="24"/>
          <w:lang w:val="en-GB" w:eastAsia="cs-CZ"/>
        </w:rPr>
        <w:t xml:space="preserve"> a </w:t>
      </w:r>
      <w:proofErr w:type="spellStart"/>
      <w:r w:rsidRPr="002F5AA4">
        <w:rPr>
          <w:rFonts w:ascii="Times New Roman" w:eastAsia="Times New Roman" w:hAnsi="Times New Roman" w:cs="Times New Roman"/>
          <w:sz w:val="24"/>
          <w:szCs w:val="24"/>
          <w:lang w:val="en-GB" w:eastAsia="cs-CZ"/>
        </w:rPr>
        <w:t>zeminy</w:t>
      </w:r>
      <w:proofErr w:type="spellEnd"/>
      <w:r w:rsidRPr="002F5AA4">
        <w:rPr>
          <w:rFonts w:ascii="Times New Roman" w:eastAsia="Times New Roman" w:hAnsi="Times New Roman" w:cs="Times New Roman"/>
          <w:sz w:val="24"/>
          <w:szCs w:val="24"/>
          <w:lang w:val="en-GB" w:eastAsia="cs-CZ"/>
        </w:rPr>
        <w:t xml:space="preserve"> </w:t>
      </w:r>
      <w:proofErr w:type="spellStart"/>
      <w:r w:rsidRPr="002F5AA4">
        <w:rPr>
          <w:rFonts w:ascii="Times New Roman" w:eastAsia="Times New Roman" w:hAnsi="Times New Roman" w:cs="Times New Roman"/>
          <w:sz w:val="24"/>
          <w:szCs w:val="24"/>
          <w:lang w:val="en-GB" w:eastAsia="cs-CZ"/>
        </w:rPr>
        <w:t>ze</w:t>
      </w:r>
      <w:proofErr w:type="spellEnd"/>
      <w:r w:rsidRPr="002F5AA4">
        <w:rPr>
          <w:rFonts w:ascii="Times New Roman" w:eastAsia="Times New Roman" w:hAnsi="Times New Roman" w:cs="Times New Roman"/>
          <w:sz w:val="24"/>
          <w:szCs w:val="24"/>
          <w:lang w:val="en-GB" w:eastAsia="cs-CZ"/>
        </w:rPr>
        <w:t xml:space="preserve"> </w:t>
      </w:r>
      <w:proofErr w:type="spellStart"/>
      <w:r w:rsidRPr="002F5AA4">
        <w:rPr>
          <w:rFonts w:ascii="Times New Roman" w:eastAsia="Times New Roman" w:hAnsi="Times New Roman" w:cs="Times New Roman"/>
          <w:sz w:val="24"/>
          <w:szCs w:val="24"/>
          <w:lang w:val="en-GB" w:eastAsia="cs-CZ"/>
        </w:rPr>
        <w:t>silničních</w:t>
      </w:r>
      <w:proofErr w:type="spellEnd"/>
      <w:r w:rsidRPr="002F5AA4">
        <w:rPr>
          <w:rFonts w:ascii="Times New Roman" w:eastAsia="Times New Roman" w:hAnsi="Times New Roman" w:cs="Times New Roman"/>
          <w:sz w:val="24"/>
          <w:szCs w:val="24"/>
          <w:lang w:val="en-GB" w:eastAsia="cs-CZ"/>
        </w:rPr>
        <w:t xml:space="preserve"> </w:t>
      </w:r>
      <w:proofErr w:type="spellStart"/>
      <w:r w:rsidRPr="002F5AA4">
        <w:rPr>
          <w:rFonts w:ascii="Times New Roman" w:eastAsia="Times New Roman" w:hAnsi="Times New Roman" w:cs="Times New Roman"/>
          <w:sz w:val="24"/>
          <w:szCs w:val="24"/>
          <w:lang w:val="en-GB" w:eastAsia="cs-CZ"/>
        </w:rPr>
        <w:t>pozemků</w:t>
      </w:r>
      <w:proofErr w:type="spellEnd"/>
      <w:r w:rsidRPr="002F5AA4">
        <w:rPr>
          <w:rFonts w:ascii="Times New Roman" w:eastAsia="Times New Roman" w:hAnsi="Times New Roman" w:cs="Times New Roman"/>
          <w:sz w:val="24"/>
          <w:szCs w:val="24"/>
          <w:lang w:val="en-GB" w:eastAsia="cs-CZ"/>
        </w:rPr>
        <w:t xml:space="preserve">. </w:t>
      </w:r>
      <w:proofErr w:type="spellStart"/>
      <w:r w:rsidRPr="002F5AA4">
        <w:rPr>
          <w:rFonts w:ascii="Times New Roman" w:eastAsia="Times New Roman" w:hAnsi="Times New Roman" w:cs="Times New Roman"/>
          <w:sz w:val="24"/>
          <w:szCs w:val="24"/>
          <w:lang w:val="en-GB" w:eastAsia="cs-CZ"/>
        </w:rPr>
        <w:t>Realizační</w:t>
      </w:r>
      <w:proofErr w:type="spellEnd"/>
      <w:r w:rsidRPr="002F5AA4">
        <w:rPr>
          <w:rFonts w:ascii="Times New Roman" w:eastAsia="Times New Roman" w:hAnsi="Times New Roman" w:cs="Times New Roman"/>
          <w:sz w:val="24"/>
          <w:szCs w:val="24"/>
          <w:lang w:val="en-GB" w:eastAsia="cs-CZ"/>
        </w:rPr>
        <w:t xml:space="preserve"> </w:t>
      </w:r>
      <w:proofErr w:type="spellStart"/>
      <w:r w:rsidRPr="002F5AA4">
        <w:rPr>
          <w:rFonts w:ascii="Times New Roman" w:eastAsia="Times New Roman" w:hAnsi="Times New Roman" w:cs="Times New Roman"/>
          <w:sz w:val="24"/>
          <w:szCs w:val="24"/>
          <w:lang w:val="en-GB" w:eastAsia="cs-CZ"/>
        </w:rPr>
        <w:t>výstup</w:t>
      </w:r>
      <w:proofErr w:type="spellEnd"/>
      <w:r w:rsidRPr="002F5AA4">
        <w:rPr>
          <w:rFonts w:ascii="Times New Roman" w:eastAsia="Times New Roman" w:hAnsi="Times New Roman" w:cs="Times New Roman"/>
          <w:sz w:val="24"/>
          <w:szCs w:val="24"/>
          <w:lang w:val="en-GB" w:eastAsia="cs-CZ"/>
        </w:rPr>
        <w:t xml:space="preserve"> </w:t>
      </w:r>
      <w:proofErr w:type="spellStart"/>
      <w:r w:rsidRPr="002F5AA4">
        <w:rPr>
          <w:rFonts w:ascii="Times New Roman" w:eastAsia="Times New Roman" w:hAnsi="Times New Roman" w:cs="Times New Roman"/>
          <w:sz w:val="24"/>
          <w:szCs w:val="24"/>
          <w:lang w:val="en-GB" w:eastAsia="cs-CZ"/>
        </w:rPr>
        <w:t>státního</w:t>
      </w:r>
      <w:proofErr w:type="spellEnd"/>
      <w:r w:rsidRPr="002F5AA4">
        <w:rPr>
          <w:rFonts w:ascii="Times New Roman" w:eastAsia="Times New Roman" w:hAnsi="Times New Roman" w:cs="Times New Roman"/>
          <w:sz w:val="24"/>
          <w:szCs w:val="24"/>
          <w:lang w:val="en-GB" w:eastAsia="cs-CZ"/>
        </w:rPr>
        <w:t xml:space="preserve"> </w:t>
      </w:r>
      <w:proofErr w:type="spellStart"/>
      <w:r w:rsidRPr="002F5AA4">
        <w:rPr>
          <w:rFonts w:ascii="Times New Roman" w:eastAsia="Times New Roman" w:hAnsi="Times New Roman" w:cs="Times New Roman"/>
          <w:sz w:val="24"/>
          <w:szCs w:val="24"/>
          <w:lang w:val="en-GB" w:eastAsia="cs-CZ"/>
        </w:rPr>
        <w:t>projektu</w:t>
      </w:r>
      <w:proofErr w:type="spellEnd"/>
      <w:r w:rsidRPr="002F5AA4">
        <w:rPr>
          <w:rFonts w:ascii="Times New Roman" w:eastAsia="Times New Roman" w:hAnsi="Times New Roman" w:cs="Times New Roman"/>
          <w:sz w:val="24"/>
          <w:szCs w:val="24"/>
          <w:lang w:val="en-GB" w:eastAsia="cs-CZ"/>
        </w:rPr>
        <w:t xml:space="preserve"> č. S 401/120/603 „</w:t>
      </w:r>
      <w:proofErr w:type="spellStart"/>
      <w:r w:rsidRPr="002F5AA4">
        <w:rPr>
          <w:rFonts w:ascii="Times New Roman" w:eastAsia="Times New Roman" w:hAnsi="Times New Roman" w:cs="Times New Roman"/>
          <w:sz w:val="24"/>
          <w:szCs w:val="24"/>
          <w:lang w:val="en-GB" w:eastAsia="cs-CZ"/>
        </w:rPr>
        <w:t>Výzkum</w:t>
      </w:r>
      <w:proofErr w:type="spellEnd"/>
      <w:r w:rsidRPr="002F5AA4">
        <w:rPr>
          <w:rFonts w:ascii="Times New Roman" w:eastAsia="Times New Roman" w:hAnsi="Times New Roman" w:cs="Times New Roman"/>
          <w:sz w:val="24"/>
          <w:szCs w:val="24"/>
          <w:lang w:val="en-GB" w:eastAsia="cs-CZ"/>
        </w:rPr>
        <w:t xml:space="preserve"> </w:t>
      </w:r>
      <w:proofErr w:type="spellStart"/>
      <w:r w:rsidRPr="002F5AA4">
        <w:rPr>
          <w:rFonts w:ascii="Times New Roman" w:eastAsia="Times New Roman" w:hAnsi="Times New Roman" w:cs="Times New Roman"/>
          <w:sz w:val="24"/>
          <w:szCs w:val="24"/>
          <w:lang w:val="en-GB" w:eastAsia="cs-CZ"/>
        </w:rPr>
        <w:t>vlivu</w:t>
      </w:r>
      <w:proofErr w:type="spellEnd"/>
      <w:r w:rsidRPr="002F5AA4">
        <w:rPr>
          <w:rFonts w:ascii="Times New Roman" w:eastAsia="Times New Roman" w:hAnsi="Times New Roman" w:cs="Times New Roman"/>
          <w:sz w:val="24"/>
          <w:szCs w:val="24"/>
          <w:lang w:val="en-GB" w:eastAsia="cs-CZ"/>
        </w:rPr>
        <w:t xml:space="preserve"> </w:t>
      </w:r>
      <w:proofErr w:type="spellStart"/>
      <w:r w:rsidRPr="002F5AA4">
        <w:rPr>
          <w:rFonts w:ascii="Times New Roman" w:eastAsia="Times New Roman" w:hAnsi="Times New Roman" w:cs="Times New Roman"/>
          <w:sz w:val="24"/>
          <w:szCs w:val="24"/>
          <w:lang w:val="en-GB" w:eastAsia="cs-CZ"/>
        </w:rPr>
        <w:t>provozu</w:t>
      </w:r>
      <w:proofErr w:type="spellEnd"/>
      <w:r w:rsidRPr="002F5AA4">
        <w:rPr>
          <w:rFonts w:ascii="Times New Roman" w:eastAsia="Times New Roman" w:hAnsi="Times New Roman" w:cs="Times New Roman"/>
          <w:sz w:val="24"/>
          <w:szCs w:val="24"/>
          <w:lang w:val="en-GB" w:eastAsia="cs-CZ"/>
        </w:rPr>
        <w:t xml:space="preserve"> </w:t>
      </w:r>
      <w:proofErr w:type="spellStart"/>
      <w:r w:rsidRPr="002F5AA4">
        <w:rPr>
          <w:rFonts w:ascii="Times New Roman" w:eastAsia="Times New Roman" w:hAnsi="Times New Roman" w:cs="Times New Roman"/>
          <w:sz w:val="24"/>
          <w:szCs w:val="24"/>
          <w:lang w:val="en-GB" w:eastAsia="cs-CZ"/>
        </w:rPr>
        <w:t>na</w:t>
      </w:r>
      <w:proofErr w:type="spellEnd"/>
      <w:r w:rsidRPr="002F5AA4">
        <w:rPr>
          <w:rFonts w:ascii="Times New Roman" w:eastAsia="Times New Roman" w:hAnsi="Times New Roman" w:cs="Times New Roman"/>
          <w:sz w:val="24"/>
          <w:szCs w:val="24"/>
          <w:lang w:val="en-GB" w:eastAsia="cs-CZ"/>
        </w:rPr>
        <w:t xml:space="preserve"> </w:t>
      </w:r>
      <w:proofErr w:type="spellStart"/>
      <w:r w:rsidRPr="002F5AA4">
        <w:rPr>
          <w:rFonts w:ascii="Times New Roman" w:eastAsia="Times New Roman" w:hAnsi="Times New Roman" w:cs="Times New Roman"/>
          <w:sz w:val="24"/>
          <w:szCs w:val="24"/>
          <w:lang w:val="en-GB" w:eastAsia="cs-CZ"/>
        </w:rPr>
        <w:t>pozemky</w:t>
      </w:r>
      <w:proofErr w:type="spellEnd"/>
      <w:r w:rsidRPr="002F5AA4">
        <w:rPr>
          <w:rFonts w:ascii="Times New Roman" w:eastAsia="Times New Roman" w:hAnsi="Times New Roman" w:cs="Times New Roman"/>
          <w:sz w:val="24"/>
          <w:szCs w:val="24"/>
          <w:lang w:val="en-GB" w:eastAsia="cs-CZ"/>
        </w:rPr>
        <w:t xml:space="preserve"> </w:t>
      </w:r>
      <w:proofErr w:type="spellStart"/>
      <w:r w:rsidRPr="002F5AA4">
        <w:rPr>
          <w:rFonts w:ascii="Times New Roman" w:eastAsia="Times New Roman" w:hAnsi="Times New Roman" w:cs="Times New Roman"/>
          <w:sz w:val="24"/>
          <w:szCs w:val="24"/>
          <w:lang w:val="en-GB" w:eastAsia="cs-CZ"/>
        </w:rPr>
        <w:t>dálnic</w:t>
      </w:r>
      <w:proofErr w:type="spellEnd"/>
      <w:r w:rsidRPr="002F5AA4">
        <w:rPr>
          <w:rFonts w:ascii="Times New Roman" w:eastAsia="Times New Roman" w:hAnsi="Times New Roman" w:cs="Times New Roman"/>
          <w:sz w:val="24"/>
          <w:szCs w:val="24"/>
          <w:lang w:val="en-GB" w:eastAsia="cs-CZ"/>
        </w:rPr>
        <w:t xml:space="preserve"> a </w:t>
      </w:r>
      <w:proofErr w:type="spellStart"/>
      <w:r w:rsidRPr="002F5AA4">
        <w:rPr>
          <w:rFonts w:ascii="Times New Roman" w:eastAsia="Times New Roman" w:hAnsi="Times New Roman" w:cs="Times New Roman"/>
          <w:sz w:val="24"/>
          <w:szCs w:val="24"/>
          <w:lang w:val="en-GB" w:eastAsia="cs-CZ"/>
        </w:rPr>
        <w:t>silnic</w:t>
      </w:r>
      <w:proofErr w:type="spellEnd"/>
      <w:r w:rsidRPr="002F5AA4">
        <w:rPr>
          <w:rFonts w:ascii="Times New Roman" w:eastAsia="Times New Roman" w:hAnsi="Times New Roman" w:cs="Times New Roman"/>
          <w:sz w:val="24"/>
          <w:szCs w:val="24"/>
          <w:lang w:val="en-GB" w:eastAsia="cs-CZ"/>
        </w:rPr>
        <w:t xml:space="preserve"> z </w:t>
      </w:r>
      <w:proofErr w:type="spellStart"/>
      <w:r w:rsidRPr="002F5AA4">
        <w:rPr>
          <w:rFonts w:ascii="Times New Roman" w:eastAsia="Times New Roman" w:hAnsi="Times New Roman" w:cs="Times New Roman"/>
          <w:sz w:val="24"/>
          <w:szCs w:val="24"/>
          <w:lang w:val="en-GB" w:eastAsia="cs-CZ"/>
        </w:rPr>
        <w:t>hlediska</w:t>
      </w:r>
      <w:proofErr w:type="spellEnd"/>
      <w:r w:rsidRPr="002F5AA4">
        <w:rPr>
          <w:rFonts w:ascii="Times New Roman" w:eastAsia="Times New Roman" w:hAnsi="Times New Roman" w:cs="Times New Roman"/>
          <w:sz w:val="24"/>
          <w:szCs w:val="24"/>
          <w:lang w:val="en-GB" w:eastAsia="cs-CZ"/>
        </w:rPr>
        <w:t xml:space="preserve"> </w:t>
      </w:r>
      <w:proofErr w:type="spellStart"/>
      <w:r w:rsidRPr="002F5AA4">
        <w:rPr>
          <w:rFonts w:ascii="Times New Roman" w:eastAsia="Times New Roman" w:hAnsi="Times New Roman" w:cs="Times New Roman"/>
          <w:sz w:val="24"/>
          <w:szCs w:val="24"/>
          <w:lang w:val="en-GB" w:eastAsia="cs-CZ"/>
        </w:rPr>
        <w:t>životního</w:t>
      </w:r>
      <w:proofErr w:type="spellEnd"/>
      <w:r w:rsidRPr="002F5AA4">
        <w:rPr>
          <w:rFonts w:ascii="Times New Roman" w:eastAsia="Times New Roman" w:hAnsi="Times New Roman" w:cs="Times New Roman"/>
          <w:sz w:val="24"/>
          <w:szCs w:val="24"/>
          <w:lang w:val="en-GB" w:eastAsia="cs-CZ"/>
        </w:rPr>
        <w:t xml:space="preserve"> </w:t>
      </w:r>
      <w:proofErr w:type="spellStart"/>
      <w:r w:rsidRPr="002F5AA4">
        <w:rPr>
          <w:rFonts w:ascii="Times New Roman" w:eastAsia="Times New Roman" w:hAnsi="Times New Roman" w:cs="Times New Roman"/>
          <w:sz w:val="24"/>
          <w:szCs w:val="24"/>
          <w:lang w:val="en-GB" w:eastAsia="cs-CZ"/>
        </w:rPr>
        <w:t>p</w:t>
      </w:r>
      <w:r>
        <w:rPr>
          <w:rFonts w:ascii="Times New Roman" w:eastAsia="Times New Roman" w:hAnsi="Times New Roman" w:cs="Times New Roman"/>
          <w:sz w:val="24"/>
          <w:szCs w:val="24"/>
          <w:lang w:val="en-GB" w:eastAsia="cs-CZ"/>
        </w:rPr>
        <w:t>rostředí</w:t>
      </w:r>
      <w:proofErr w:type="spellEnd"/>
      <w:r>
        <w:rPr>
          <w:rFonts w:ascii="Times New Roman" w:eastAsia="Times New Roman" w:hAnsi="Times New Roman" w:cs="Times New Roman"/>
          <w:sz w:val="24"/>
          <w:szCs w:val="24"/>
          <w:lang w:val="en-GB" w:eastAsia="cs-CZ"/>
        </w:rPr>
        <w:t xml:space="preserve">“, </w:t>
      </w:r>
      <w:proofErr w:type="spellStart"/>
      <w:r>
        <w:rPr>
          <w:rFonts w:ascii="Times New Roman" w:eastAsia="Times New Roman" w:hAnsi="Times New Roman" w:cs="Times New Roman"/>
          <w:sz w:val="24"/>
          <w:szCs w:val="24"/>
          <w:lang w:val="en-GB" w:eastAsia="cs-CZ"/>
        </w:rPr>
        <w:t>listopad</w:t>
      </w:r>
      <w:proofErr w:type="spellEnd"/>
      <w:r>
        <w:rPr>
          <w:rFonts w:ascii="Times New Roman" w:eastAsia="Times New Roman" w:hAnsi="Times New Roman" w:cs="Times New Roman"/>
          <w:sz w:val="24"/>
          <w:szCs w:val="24"/>
          <w:lang w:val="en-GB" w:eastAsia="cs-CZ"/>
        </w:rPr>
        <w:t xml:space="preserve"> 1998, 27 s.</w:t>
      </w:r>
    </w:p>
    <w:p w:rsidR="001F59C3" w:rsidRDefault="001F59C3" w:rsidP="001F59C3">
      <w:pPr>
        <w:spacing w:after="120"/>
        <w:rPr>
          <w:rFonts w:ascii="Times New Roman" w:eastAsia="Times New Roman" w:hAnsi="Times New Roman" w:cs="Times New Roman"/>
          <w:sz w:val="24"/>
          <w:szCs w:val="24"/>
          <w:lang w:val="en-GB" w:eastAsia="cs-CZ"/>
        </w:rPr>
      </w:pPr>
      <w:r w:rsidRPr="00665FC3">
        <w:rPr>
          <w:rFonts w:ascii="Times New Roman" w:eastAsia="Times New Roman" w:hAnsi="Times New Roman" w:cs="Times New Roman"/>
          <w:sz w:val="24"/>
          <w:szCs w:val="24"/>
          <w:lang w:val="en-GB" w:eastAsia="cs-CZ"/>
        </w:rPr>
        <w:t xml:space="preserve">Lorenz S. E., </w:t>
      </w:r>
      <w:proofErr w:type="spellStart"/>
      <w:r w:rsidRPr="00665FC3">
        <w:rPr>
          <w:rFonts w:ascii="Times New Roman" w:eastAsia="Times New Roman" w:hAnsi="Times New Roman" w:cs="Times New Roman"/>
          <w:sz w:val="24"/>
          <w:szCs w:val="24"/>
          <w:lang w:val="en-GB" w:eastAsia="cs-CZ"/>
        </w:rPr>
        <w:t>Hamon</w:t>
      </w:r>
      <w:proofErr w:type="spellEnd"/>
      <w:r w:rsidRPr="00665FC3">
        <w:rPr>
          <w:rFonts w:ascii="Times New Roman" w:eastAsia="Times New Roman" w:hAnsi="Times New Roman" w:cs="Times New Roman"/>
          <w:sz w:val="24"/>
          <w:szCs w:val="24"/>
          <w:lang w:val="en-GB" w:eastAsia="cs-CZ"/>
        </w:rPr>
        <w:t xml:space="preserve"> R. E., Holm P. E., Dominguez H. C., </w:t>
      </w:r>
      <w:proofErr w:type="spellStart"/>
      <w:r w:rsidRPr="00665FC3">
        <w:rPr>
          <w:rFonts w:ascii="Times New Roman" w:eastAsia="Times New Roman" w:hAnsi="Times New Roman" w:cs="Times New Roman"/>
          <w:sz w:val="24"/>
          <w:szCs w:val="24"/>
          <w:lang w:val="en-GB" w:eastAsia="cs-CZ"/>
        </w:rPr>
        <w:t>Sequeira</w:t>
      </w:r>
      <w:proofErr w:type="spellEnd"/>
      <w:r w:rsidRPr="00665FC3">
        <w:rPr>
          <w:rFonts w:ascii="Times New Roman" w:eastAsia="Times New Roman" w:hAnsi="Times New Roman" w:cs="Times New Roman"/>
          <w:sz w:val="24"/>
          <w:szCs w:val="24"/>
          <w:lang w:val="en-GB" w:eastAsia="cs-CZ"/>
        </w:rPr>
        <w:t xml:space="preserve"> E. M., Christensen T. H., McGrath S. P. </w:t>
      </w:r>
      <w:r>
        <w:rPr>
          <w:rFonts w:ascii="Times New Roman" w:eastAsia="Times New Roman" w:hAnsi="Times New Roman" w:cs="Times New Roman"/>
          <w:sz w:val="24"/>
          <w:szCs w:val="24"/>
          <w:lang w:val="en-GB" w:eastAsia="cs-CZ"/>
        </w:rPr>
        <w:t>(</w:t>
      </w:r>
      <w:r w:rsidRPr="00665FC3">
        <w:rPr>
          <w:rFonts w:ascii="Times New Roman" w:eastAsia="Times New Roman" w:hAnsi="Times New Roman" w:cs="Times New Roman"/>
          <w:sz w:val="24"/>
          <w:szCs w:val="24"/>
          <w:lang w:val="en-GB" w:eastAsia="cs-CZ"/>
        </w:rPr>
        <w:t>1997</w:t>
      </w:r>
      <w:r>
        <w:rPr>
          <w:rFonts w:ascii="Times New Roman" w:eastAsia="Times New Roman" w:hAnsi="Times New Roman" w:cs="Times New Roman"/>
          <w:sz w:val="24"/>
          <w:szCs w:val="24"/>
          <w:lang w:val="en-GB" w:eastAsia="cs-CZ"/>
        </w:rPr>
        <w:t>)</w:t>
      </w:r>
      <w:r w:rsidRPr="00665FC3">
        <w:rPr>
          <w:rFonts w:ascii="Times New Roman" w:eastAsia="Times New Roman" w:hAnsi="Times New Roman" w:cs="Times New Roman"/>
          <w:sz w:val="24"/>
          <w:szCs w:val="24"/>
          <w:lang w:val="en-GB" w:eastAsia="cs-CZ"/>
        </w:rPr>
        <w:t>: Cadmium and zinc in plants and soil solutions from contaminated soils. Plant and Soil, 1997, 189</w:t>
      </w:r>
      <w:r>
        <w:rPr>
          <w:rFonts w:ascii="Times New Roman" w:eastAsia="Times New Roman" w:hAnsi="Times New Roman" w:cs="Times New Roman"/>
          <w:sz w:val="24"/>
          <w:szCs w:val="24"/>
          <w:lang w:val="en-GB" w:eastAsia="cs-CZ"/>
        </w:rPr>
        <w:t>: 21-31.</w:t>
      </w:r>
    </w:p>
    <w:p w:rsidR="001F59C3" w:rsidRPr="00B94F7E" w:rsidRDefault="001F59C3" w:rsidP="001F59C3">
      <w:pPr>
        <w:spacing w:after="120"/>
        <w:rPr>
          <w:rFonts w:ascii="Times New Roman" w:eastAsia="Times New Roman" w:hAnsi="Times New Roman" w:cs="Times New Roman"/>
          <w:sz w:val="24"/>
          <w:szCs w:val="24"/>
          <w:lang w:val="en-GB" w:eastAsia="cs-CZ"/>
        </w:rPr>
      </w:pPr>
      <w:r w:rsidRPr="006B2284">
        <w:rPr>
          <w:rFonts w:ascii="Times New Roman" w:eastAsia="Times New Roman" w:hAnsi="Times New Roman" w:cs="Times New Roman"/>
          <w:sz w:val="24"/>
          <w:szCs w:val="24"/>
          <w:lang w:val="en-GB" w:eastAsia="cs-CZ"/>
        </w:rPr>
        <w:t xml:space="preserve">Madrid L., </w:t>
      </w:r>
      <w:proofErr w:type="spellStart"/>
      <w:r w:rsidRPr="006B2284">
        <w:rPr>
          <w:rFonts w:ascii="Times New Roman" w:eastAsia="Times New Roman" w:hAnsi="Times New Roman" w:cs="Times New Roman"/>
          <w:sz w:val="24"/>
          <w:szCs w:val="24"/>
          <w:lang w:val="en-GB" w:eastAsia="cs-CZ"/>
        </w:rPr>
        <w:t>Díaz</w:t>
      </w:r>
      <w:proofErr w:type="spellEnd"/>
      <w:r w:rsidRPr="006B2284">
        <w:rPr>
          <w:rFonts w:ascii="Times New Roman" w:eastAsia="Times New Roman" w:hAnsi="Times New Roman" w:cs="Times New Roman"/>
          <w:sz w:val="24"/>
          <w:szCs w:val="24"/>
          <w:lang w:val="en-GB" w:eastAsia="cs-CZ"/>
        </w:rPr>
        <w:t xml:space="preserve">-Barrientos E. </w:t>
      </w:r>
      <w:r>
        <w:rPr>
          <w:rFonts w:ascii="Times New Roman" w:eastAsia="Times New Roman" w:hAnsi="Times New Roman" w:cs="Times New Roman"/>
          <w:sz w:val="24"/>
          <w:szCs w:val="24"/>
          <w:lang w:val="en-GB" w:eastAsia="cs-CZ"/>
        </w:rPr>
        <w:t>(</w:t>
      </w:r>
      <w:r w:rsidRPr="006B2284">
        <w:rPr>
          <w:rFonts w:ascii="Times New Roman" w:eastAsia="Times New Roman" w:hAnsi="Times New Roman" w:cs="Times New Roman"/>
          <w:sz w:val="24"/>
          <w:szCs w:val="24"/>
          <w:lang w:val="en-GB" w:eastAsia="cs-CZ"/>
        </w:rPr>
        <w:t>1999</w:t>
      </w:r>
      <w:r>
        <w:rPr>
          <w:rFonts w:ascii="Times New Roman" w:eastAsia="Times New Roman" w:hAnsi="Times New Roman" w:cs="Times New Roman"/>
          <w:sz w:val="24"/>
          <w:szCs w:val="24"/>
          <w:lang w:val="en-GB" w:eastAsia="cs-CZ"/>
        </w:rPr>
        <w:t>)</w:t>
      </w:r>
      <w:r w:rsidRPr="006B2284">
        <w:rPr>
          <w:rFonts w:ascii="Times New Roman" w:eastAsia="Times New Roman" w:hAnsi="Times New Roman" w:cs="Times New Roman"/>
          <w:sz w:val="24"/>
          <w:szCs w:val="24"/>
          <w:lang w:val="en-GB" w:eastAsia="cs-CZ"/>
        </w:rPr>
        <w:t>: Effect of organic wastes on soil metals: Simulation by using homogenous soil columns. 5th International Conference on the Biogeochemistry of Trace Elements, 11.-15. July, Vienna, Austria</w:t>
      </w:r>
      <w:proofErr w:type="gramStart"/>
      <w:r w:rsidRPr="006B2284">
        <w:rPr>
          <w:rFonts w:ascii="Times New Roman" w:eastAsia="Times New Roman" w:hAnsi="Times New Roman" w:cs="Times New Roman"/>
          <w:sz w:val="24"/>
          <w:szCs w:val="24"/>
          <w:lang w:val="en-GB" w:eastAsia="cs-CZ"/>
        </w:rPr>
        <w:t>,  Proceedings</w:t>
      </w:r>
      <w:proofErr w:type="gramEnd"/>
      <w:r w:rsidRPr="006B2284">
        <w:rPr>
          <w:rFonts w:ascii="Times New Roman" w:eastAsia="Times New Roman" w:hAnsi="Times New Roman" w:cs="Times New Roman"/>
          <w:sz w:val="24"/>
          <w:szCs w:val="24"/>
          <w:lang w:val="en-GB" w:eastAsia="cs-CZ"/>
        </w:rPr>
        <w:t xml:space="preserve"> of </w:t>
      </w:r>
      <w:r>
        <w:rPr>
          <w:rFonts w:ascii="Times New Roman" w:eastAsia="Times New Roman" w:hAnsi="Times New Roman" w:cs="Times New Roman"/>
          <w:sz w:val="24"/>
          <w:szCs w:val="24"/>
          <w:lang w:val="en-GB" w:eastAsia="cs-CZ"/>
        </w:rPr>
        <w:t>extended abstracts, p. 390-391.</w:t>
      </w:r>
    </w:p>
    <w:p w:rsidR="001F59C3" w:rsidRDefault="001F59C3" w:rsidP="001F59C3">
      <w:pPr>
        <w:pStyle w:val="abstractkt"/>
        <w:spacing w:before="120" w:after="120"/>
        <w:rPr>
          <w:b w:val="0"/>
          <w:bCs w:val="0"/>
          <w:caps w:val="0"/>
          <w:sz w:val="24"/>
          <w:szCs w:val="24"/>
          <w:lang w:val="en-GB"/>
        </w:rPr>
      </w:pPr>
      <w:proofErr w:type="spellStart"/>
      <w:r>
        <w:rPr>
          <w:b w:val="0"/>
          <w:bCs w:val="0"/>
          <w:caps w:val="0"/>
          <w:sz w:val="24"/>
          <w:szCs w:val="24"/>
          <w:lang w:val="en-GB"/>
        </w:rPr>
        <w:t>Markard</w:t>
      </w:r>
      <w:proofErr w:type="spellEnd"/>
      <w:r>
        <w:rPr>
          <w:b w:val="0"/>
          <w:bCs w:val="0"/>
          <w:caps w:val="0"/>
          <w:sz w:val="24"/>
          <w:szCs w:val="24"/>
          <w:lang w:val="en-GB"/>
        </w:rPr>
        <w:t xml:space="preserve"> C. (1988): Organic contaminants in sewage sludge-do they constitute a danger for the food chain? </w:t>
      </w:r>
      <w:proofErr w:type="spellStart"/>
      <w:r>
        <w:rPr>
          <w:b w:val="0"/>
          <w:bCs w:val="0"/>
          <w:caps w:val="0"/>
          <w:sz w:val="24"/>
          <w:szCs w:val="24"/>
          <w:lang w:val="en-GB"/>
        </w:rPr>
        <w:t>Korrespondenz</w:t>
      </w:r>
      <w:proofErr w:type="spellEnd"/>
      <w:r>
        <w:rPr>
          <w:b w:val="0"/>
          <w:bCs w:val="0"/>
          <w:caps w:val="0"/>
          <w:sz w:val="24"/>
          <w:szCs w:val="24"/>
          <w:lang w:val="en-GB"/>
        </w:rPr>
        <w:t xml:space="preserve"> </w:t>
      </w:r>
      <w:proofErr w:type="spellStart"/>
      <w:r>
        <w:rPr>
          <w:b w:val="0"/>
          <w:bCs w:val="0"/>
          <w:caps w:val="0"/>
          <w:sz w:val="24"/>
          <w:szCs w:val="24"/>
          <w:lang w:val="en-GB"/>
        </w:rPr>
        <w:t>Abwasser</w:t>
      </w:r>
      <w:proofErr w:type="spellEnd"/>
      <w:r>
        <w:rPr>
          <w:b w:val="0"/>
          <w:bCs w:val="0"/>
          <w:caps w:val="0"/>
          <w:sz w:val="24"/>
          <w:szCs w:val="24"/>
          <w:lang w:val="en-GB"/>
        </w:rPr>
        <w:t xml:space="preserve">, 35: 449-452. </w:t>
      </w:r>
    </w:p>
    <w:p w:rsidR="001F59C3" w:rsidRPr="00B94F7E" w:rsidRDefault="001F59C3" w:rsidP="001F59C3">
      <w:pPr>
        <w:pStyle w:val="abstractkt"/>
        <w:spacing w:before="120" w:after="120"/>
        <w:rPr>
          <w:b w:val="0"/>
          <w:bCs w:val="0"/>
          <w:caps w:val="0"/>
          <w:sz w:val="24"/>
          <w:szCs w:val="24"/>
          <w:lang w:val="en-GB"/>
        </w:rPr>
      </w:pPr>
      <w:r w:rsidRPr="006B2284">
        <w:rPr>
          <w:b w:val="0"/>
          <w:bCs w:val="0"/>
          <w:caps w:val="0"/>
          <w:sz w:val="24"/>
          <w:szCs w:val="24"/>
          <w:lang w:val="en-GB"/>
        </w:rPr>
        <w:t xml:space="preserve">Martinez-Sanchez </w:t>
      </w:r>
      <w:proofErr w:type="spellStart"/>
      <w:r w:rsidRPr="006B2284">
        <w:rPr>
          <w:b w:val="0"/>
          <w:bCs w:val="0"/>
          <w:caps w:val="0"/>
          <w:sz w:val="24"/>
          <w:szCs w:val="24"/>
          <w:lang w:val="en-GB"/>
        </w:rPr>
        <w:t>MaJ.</w:t>
      </w:r>
      <w:proofErr w:type="spellEnd"/>
      <w:r w:rsidRPr="006B2284">
        <w:rPr>
          <w:b w:val="0"/>
          <w:bCs w:val="0"/>
          <w:caps w:val="0"/>
          <w:sz w:val="24"/>
          <w:szCs w:val="24"/>
          <w:lang w:val="en-GB"/>
        </w:rPr>
        <w:t>, Pérez-</w:t>
      </w:r>
      <w:proofErr w:type="spellStart"/>
      <w:r w:rsidRPr="006B2284">
        <w:rPr>
          <w:b w:val="0"/>
          <w:bCs w:val="0"/>
          <w:caps w:val="0"/>
          <w:sz w:val="24"/>
          <w:szCs w:val="24"/>
          <w:lang w:val="en-GB"/>
        </w:rPr>
        <w:t>Sirvent</w:t>
      </w:r>
      <w:proofErr w:type="spellEnd"/>
      <w:r w:rsidRPr="006B2284">
        <w:rPr>
          <w:b w:val="0"/>
          <w:bCs w:val="0"/>
          <w:caps w:val="0"/>
          <w:sz w:val="24"/>
          <w:szCs w:val="24"/>
          <w:lang w:val="en-GB"/>
        </w:rPr>
        <w:t xml:space="preserve"> C., Vidal J., Marin P. </w:t>
      </w:r>
      <w:r>
        <w:rPr>
          <w:b w:val="0"/>
          <w:bCs w:val="0"/>
          <w:caps w:val="0"/>
          <w:sz w:val="24"/>
          <w:szCs w:val="24"/>
          <w:lang w:val="en-GB"/>
        </w:rPr>
        <w:t>(</w:t>
      </w:r>
      <w:r w:rsidRPr="006B2284">
        <w:rPr>
          <w:b w:val="0"/>
          <w:bCs w:val="0"/>
          <w:caps w:val="0"/>
          <w:sz w:val="24"/>
          <w:szCs w:val="24"/>
          <w:lang w:val="en-GB"/>
        </w:rPr>
        <w:t>1999</w:t>
      </w:r>
      <w:r>
        <w:rPr>
          <w:b w:val="0"/>
          <w:bCs w:val="0"/>
          <w:caps w:val="0"/>
          <w:sz w:val="24"/>
          <w:szCs w:val="24"/>
          <w:lang w:val="en-GB"/>
        </w:rPr>
        <w:t>)</w:t>
      </w:r>
      <w:r w:rsidRPr="006B2284">
        <w:rPr>
          <w:b w:val="0"/>
          <w:bCs w:val="0"/>
          <w:caps w:val="0"/>
          <w:sz w:val="24"/>
          <w:szCs w:val="24"/>
          <w:lang w:val="en-GB"/>
        </w:rPr>
        <w:t xml:space="preserve">: Effect of salinity on the heavy metals mobility in </w:t>
      </w:r>
      <w:proofErr w:type="spellStart"/>
      <w:r w:rsidRPr="006B2284">
        <w:rPr>
          <w:b w:val="0"/>
          <w:bCs w:val="0"/>
          <w:caps w:val="0"/>
          <w:sz w:val="24"/>
          <w:szCs w:val="24"/>
          <w:lang w:val="en-GB"/>
        </w:rPr>
        <w:t>calcaric</w:t>
      </w:r>
      <w:proofErr w:type="spellEnd"/>
      <w:r w:rsidRPr="006B2284">
        <w:rPr>
          <w:b w:val="0"/>
          <w:bCs w:val="0"/>
          <w:caps w:val="0"/>
          <w:sz w:val="24"/>
          <w:szCs w:val="24"/>
          <w:lang w:val="en-GB"/>
        </w:rPr>
        <w:t xml:space="preserve"> </w:t>
      </w:r>
      <w:proofErr w:type="spellStart"/>
      <w:r w:rsidRPr="006B2284">
        <w:rPr>
          <w:b w:val="0"/>
          <w:bCs w:val="0"/>
          <w:caps w:val="0"/>
          <w:sz w:val="24"/>
          <w:szCs w:val="24"/>
          <w:lang w:val="en-GB"/>
        </w:rPr>
        <w:t>fluvisols</w:t>
      </w:r>
      <w:proofErr w:type="spellEnd"/>
      <w:r w:rsidRPr="006B2284">
        <w:rPr>
          <w:b w:val="0"/>
          <w:bCs w:val="0"/>
          <w:caps w:val="0"/>
          <w:sz w:val="24"/>
          <w:szCs w:val="24"/>
          <w:lang w:val="en-GB"/>
        </w:rPr>
        <w:t>. 5th International Conference on the Biogeochemistry of Trace Elements, 11.-15. July, Vienna, Austria</w:t>
      </w:r>
      <w:proofErr w:type="gramStart"/>
      <w:r w:rsidRPr="006B2284">
        <w:rPr>
          <w:b w:val="0"/>
          <w:bCs w:val="0"/>
          <w:caps w:val="0"/>
          <w:sz w:val="24"/>
          <w:szCs w:val="24"/>
          <w:lang w:val="en-GB"/>
        </w:rPr>
        <w:t>,  Proceedings</w:t>
      </w:r>
      <w:proofErr w:type="gramEnd"/>
      <w:r w:rsidRPr="006B2284">
        <w:rPr>
          <w:b w:val="0"/>
          <w:bCs w:val="0"/>
          <w:caps w:val="0"/>
          <w:sz w:val="24"/>
          <w:szCs w:val="24"/>
          <w:lang w:val="en-GB"/>
        </w:rPr>
        <w:t xml:space="preserve"> of extended abstracts, 792-793.</w:t>
      </w:r>
    </w:p>
    <w:p w:rsidR="001F59C3" w:rsidRDefault="001F59C3" w:rsidP="001F59C3">
      <w:pPr>
        <w:pStyle w:val="abstractkt"/>
        <w:spacing w:before="120" w:after="120"/>
        <w:rPr>
          <w:b w:val="0"/>
          <w:bCs w:val="0"/>
          <w:caps w:val="0"/>
          <w:sz w:val="24"/>
          <w:szCs w:val="24"/>
          <w:lang w:val="en-GB"/>
        </w:rPr>
      </w:pPr>
      <w:r>
        <w:rPr>
          <w:b w:val="0"/>
          <w:bCs w:val="0"/>
          <w:caps w:val="0"/>
          <w:sz w:val="24"/>
          <w:szCs w:val="24"/>
          <w:lang w:val="en-GB"/>
        </w:rPr>
        <w:t xml:space="preserve">Mazur Z, </w:t>
      </w:r>
      <w:proofErr w:type="spellStart"/>
      <w:r>
        <w:rPr>
          <w:b w:val="0"/>
          <w:bCs w:val="0"/>
          <w:caps w:val="0"/>
          <w:sz w:val="24"/>
          <w:szCs w:val="24"/>
          <w:lang w:val="en-GB"/>
        </w:rPr>
        <w:t>Matur</w:t>
      </w:r>
      <w:proofErr w:type="spellEnd"/>
      <w:r>
        <w:rPr>
          <w:b w:val="0"/>
          <w:bCs w:val="0"/>
          <w:caps w:val="0"/>
          <w:sz w:val="24"/>
          <w:szCs w:val="24"/>
          <w:lang w:val="en-GB"/>
        </w:rPr>
        <w:t xml:space="preserve"> T. (2016): The influence of long-term fertilization by slurry, manure and NPK on the soil content of trace elements. Journal of </w:t>
      </w:r>
      <w:proofErr w:type="spellStart"/>
      <w:r>
        <w:rPr>
          <w:b w:val="0"/>
          <w:bCs w:val="0"/>
          <w:caps w:val="0"/>
          <w:sz w:val="24"/>
          <w:szCs w:val="24"/>
          <w:lang w:val="en-GB"/>
        </w:rPr>
        <w:t>Elementology</w:t>
      </w:r>
      <w:proofErr w:type="spellEnd"/>
      <w:r>
        <w:rPr>
          <w:b w:val="0"/>
          <w:bCs w:val="0"/>
          <w:caps w:val="0"/>
          <w:sz w:val="24"/>
          <w:szCs w:val="24"/>
          <w:lang w:val="en-GB"/>
        </w:rPr>
        <w:t xml:space="preserve">, 21: 131-139.  </w:t>
      </w:r>
    </w:p>
    <w:p w:rsidR="001F59C3" w:rsidRDefault="001F59C3" w:rsidP="001F59C3">
      <w:pPr>
        <w:pStyle w:val="abstractkt"/>
        <w:spacing w:before="120" w:after="120"/>
        <w:rPr>
          <w:b w:val="0"/>
          <w:bCs w:val="0"/>
          <w:caps w:val="0"/>
          <w:sz w:val="24"/>
          <w:szCs w:val="24"/>
          <w:lang w:val="en-GB"/>
        </w:rPr>
      </w:pPr>
      <w:proofErr w:type="spellStart"/>
      <w:r>
        <w:rPr>
          <w:b w:val="0"/>
          <w:bCs w:val="0"/>
          <w:caps w:val="0"/>
          <w:sz w:val="24"/>
          <w:szCs w:val="24"/>
          <w:lang w:val="en-GB"/>
        </w:rPr>
        <w:t>Melcer</w:t>
      </w:r>
      <w:proofErr w:type="spellEnd"/>
      <w:r>
        <w:rPr>
          <w:b w:val="0"/>
          <w:bCs w:val="0"/>
          <w:caps w:val="0"/>
          <w:sz w:val="24"/>
          <w:szCs w:val="24"/>
          <w:lang w:val="en-GB"/>
        </w:rPr>
        <w:t xml:space="preserve"> H., </w:t>
      </w:r>
      <w:proofErr w:type="spellStart"/>
      <w:r>
        <w:rPr>
          <w:b w:val="0"/>
          <w:bCs w:val="0"/>
          <w:caps w:val="0"/>
          <w:sz w:val="24"/>
          <w:szCs w:val="24"/>
          <w:lang w:val="en-GB"/>
        </w:rPr>
        <w:t>Monteith</w:t>
      </w:r>
      <w:proofErr w:type="spellEnd"/>
      <w:r>
        <w:rPr>
          <w:b w:val="0"/>
          <w:bCs w:val="0"/>
          <w:caps w:val="0"/>
          <w:sz w:val="24"/>
          <w:szCs w:val="24"/>
          <w:lang w:val="en-GB"/>
        </w:rPr>
        <w:t xml:space="preserve"> H., Nutt S.G. (1988): Variability of toxic trace contaminants in municipal sewage treatments plants. Water Science and Technology, 20: 275-284.  </w:t>
      </w:r>
    </w:p>
    <w:p w:rsidR="001F59C3" w:rsidRPr="006B2284" w:rsidRDefault="001F59C3" w:rsidP="001F59C3">
      <w:pPr>
        <w:pStyle w:val="abstractkt"/>
        <w:spacing w:before="120" w:after="120"/>
        <w:rPr>
          <w:b w:val="0"/>
          <w:bCs w:val="0"/>
          <w:caps w:val="0"/>
          <w:sz w:val="24"/>
          <w:szCs w:val="24"/>
          <w:lang w:val="en-GB"/>
        </w:rPr>
      </w:pPr>
      <w:r w:rsidRPr="006B2284">
        <w:rPr>
          <w:b w:val="0"/>
          <w:bCs w:val="0"/>
          <w:caps w:val="0"/>
          <w:sz w:val="24"/>
          <w:szCs w:val="24"/>
          <w:lang w:val="en-GB"/>
        </w:rPr>
        <w:t xml:space="preserve">Morin G., </w:t>
      </w:r>
      <w:proofErr w:type="spellStart"/>
      <w:r w:rsidRPr="006B2284">
        <w:rPr>
          <w:b w:val="0"/>
          <w:bCs w:val="0"/>
          <w:caps w:val="0"/>
          <w:sz w:val="24"/>
          <w:szCs w:val="24"/>
          <w:lang w:val="en-GB"/>
        </w:rPr>
        <w:t>Juillot</w:t>
      </w:r>
      <w:proofErr w:type="spellEnd"/>
      <w:r w:rsidRPr="006B2284">
        <w:rPr>
          <w:b w:val="0"/>
          <w:bCs w:val="0"/>
          <w:caps w:val="0"/>
          <w:sz w:val="24"/>
          <w:szCs w:val="24"/>
          <w:lang w:val="en-GB"/>
        </w:rPr>
        <w:t xml:space="preserve"> F., </w:t>
      </w:r>
      <w:proofErr w:type="spellStart"/>
      <w:r w:rsidRPr="006B2284">
        <w:rPr>
          <w:b w:val="0"/>
          <w:bCs w:val="0"/>
          <w:caps w:val="0"/>
          <w:sz w:val="24"/>
          <w:szCs w:val="24"/>
          <w:lang w:val="en-GB"/>
        </w:rPr>
        <w:t>Ildefonse</w:t>
      </w:r>
      <w:proofErr w:type="spellEnd"/>
      <w:r w:rsidRPr="006B2284">
        <w:rPr>
          <w:b w:val="0"/>
          <w:bCs w:val="0"/>
          <w:caps w:val="0"/>
          <w:sz w:val="24"/>
          <w:szCs w:val="24"/>
          <w:lang w:val="en-GB"/>
        </w:rPr>
        <w:t xml:space="preserve"> P., </w:t>
      </w:r>
      <w:proofErr w:type="spellStart"/>
      <w:r w:rsidRPr="006B2284">
        <w:rPr>
          <w:b w:val="0"/>
          <w:bCs w:val="0"/>
          <w:caps w:val="0"/>
          <w:sz w:val="24"/>
          <w:szCs w:val="24"/>
          <w:lang w:val="en-GB"/>
        </w:rPr>
        <w:t>Dumat</w:t>
      </w:r>
      <w:proofErr w:type="spellEnd"/>
      <w:r w:rsidRPr="006B2284">
        <w:rPr>
          <w:b w:val="0"/>
          <w:bCs w:val="0"/>
          <w:caps w:val="0"/>
          <w:sz w:val="24"/>
          <w:szCs w:val="24"/>
          <w:lang w:val="en-GB"/>
        </w:rPr>
        <w:t xml:space="preserve"> C., Benedetti M., </w:t>
      </w:r>
      <w:proofErr w:type="spellStart"/>
      <w:r w:rsidRPr="006B2284">
        <w:rPr>
          <w:b w:val="0"/>
          <w:bCs w:val="0"/>
          <w:caps w:val="0"/>
          <w:sz w:val="24"/>
          <w:szCs w:val="24"/>
          <w:lang w:val="en-GB"/>
        </w:rPr>
        <w:t>Chevallier</w:t>
      </w:r>
      <w:proofErr w:type="spellEnd"/>
      <w:r w:rsidRPr="006B2284">
        <w:rPr>
          <w:b w:val="0"/>
          <w:bCs w:val="0"/>
          <w:caps w:val="0"/>
          <w:sz w:val="24"/>
          <w:szCs w:val="24"/>
          <w:lang w:val="en-GB"/>
        </w:rPr>
        <w:t xml:space="preserve"> P., Brown J., </w:t>
      </w:r>
      <w:proofErr w:type="gramStart"/>
      <w:r w:rsidRPr="006B2284">
        <w:rPr>
          <w:b w:val="0"/>
          <w:bCs w:val="0"/>
          <w:caps w:val="0"/>
          <w:sz w:val="24"/>
          <w:szCs w:val="24"/>
          <w:lang w:val="en-GB"/>
        </w:rPr>
        <w:t>Gordon</w:t>
      </w:r>
      <w:proofErr w:type="gramEnd"/>
      <w:r w:rsidRPr="006B2284">
        <w:rPr>
          <w:b w:val="0"/>
          <w:bCs w:val="0"/>
          <w:caps w:val="0"/>
          <w:sz w:val="24"/>
          <w:szCs w:val="24"/>
          <w:lang w:val="en-GB"/>
        </w:rPr>
        <w:t xml:space="preserve"> E., </w:t>
      </w:r>
      <w:proofErr w:type="spellStart"/>
      <w:r w:rsidRPr="006B2284">
        <w:rPr>
          <w:b w:val="0"/>
          <w:bCs w:val="0"/>
          <w:caps w:val="0"/>
          <w:sz w:val="24"/>
          <w:szCs w:val="24"/>
          <w:lang w:val="en-GB"/>
        </w:rPr>
        <w:t>Calas</w:t>
      </w:r>
      <w:proofErr w:type="spellEnd"/>
      <w:r w:rsidRPr="006B2284">
        <w:rPr>
          <w:b w:val="0"/>
          <w:bCs w:val="0"/>
          <w:caps w:val="0"/>
          <w:sz w:val="24"/>
          <w:szCs w:val="24"/>
          <w:lang w:val="en-GB"/>
        </w:rPr>
        <w:t xml:space="preserve"> G. </w:t>
      </w:r>
      <w:r>
        <w:rPr>
          <w:b w:val="0"/>
          <w:bCs w:val="0"/>
          <w:caps w:val="0"/>
          <w:sz w:val="24"/>
          <w:szCs w:val="24"/>
          <w:lang w:val="en-GB"/>
        </w:rPr>
        <w:t>(</w:t>
      </w:r>
      <w:r w:rsidRPr="006B2284">
        <w:rPr>
          <w:b w:val="0"/>
          <w:bCs w:val="0"/>
          <w:caps w:val="0"/>
          <w:sz w:val="24"/>
          <w:szCs w:val="24"/>
          <w:lang w:val="en-GB"/>
        </w:rPr>
        <w:t>1999</w:t>
      </w:r>
      <w:r>
        <w:rPr>
          <w:b w:val="0"/>
          <w:bCs w:val="0"/>
          <w:caps w:val="0"/>
          <w:sz w:val="24"/>
          <w:szCs w:val="24"/>
          <w:lang w:val="en-GB"/>
        </w:rPr>
        <w:t>)</w:t>
      </w:r>
      <w:r w:rsidRPr="006B2284">
        <w:rPr>
          <w:b w:val="0"/>
          <w:bCs w:val="0"/>
          <w:caps w:val="0"/>
          <w:sz w:val="24"/>
          <w:szCs w:val="24"/>
          <w:lang w:val="en-GB"/>
        </w:rPr>
        <w:t>: Chemical forms of lead in a soil developed on A-</w:t>
      </w:r>
      <w:proofErr w:type="spellStart"/>
      <w:r w:rsidRPr="006B2284">
        <w:rPr>
          <w:b w:val="0"/>
          <w:bCs w:val="0"/>
          <w:caps w:val="0"/>
          <w:sz w:val="24"/>
          <w:szCs w:val="24"/>
          <w:lang w:val="en-GB"/>
        </w:rPr>
        <w:t>Pb</w:t>
      </w:r>
      <w:proofErr w:type="spellEnd"/>
      <w:r w:rsidRPr="006B2284">
        <w:rPr>
          <w:b w:val="0"/>
          <w:bCs w:val="0"/>
          <w:caps w:val="0"/>
          <w:sz w:val="24"/>
          <w:szCs w:val="24"/>
          <w:lang w:val="en-GB"/>
        </w:rPr>
        <w:t>-mineralized sandstone (</w:t>
      </w:r>
      <w:proofErr w:type="spellStart"/>
      <w:r w:rsidRPr="006B2284">
        <w:rPr>
          <w:b w:val="0"/>
          <w:bCs w:val="0"/>
          <w:caps w:val="0"/>
          <w:sz w:val="24"/>
          <w:szCs w:val="24"/>
          <w:lang w:val="en-GB"/>
        </w:rPr>
        <w:t>Ardéche</w:t>
      </w:r>
      <w:proofErr w:type="spellEnd"/>
      <w:r w:rsidRPr="006B2284">
        <w:rPr>
          <w:b w:val="0"/>
          <w:bCs w:val="0"/>
          <w:caps w:val="0"/>
          <w:sz w:val="24"/>
          <w:szCs w:val="24"/>
          <w:lang w:val="en-GB"/>
        </w:rPr>
        <w:t>, France). 5th International Conference on the Biogeochemistry of Trace Elements, 11.-15. July, Vienna, Austria</w:t>
      </w:r>
      <w:proofErr w:type="gramStart"/>
      <w:r w:rsidRPr="006B2284">
        <w:rPr>
          <w:b w:val="0"/>
          <w:bCs w:val="0"/>
          <w:caps w:val="0"/>
          <w:sz w:val="24"/>
          <w:szCs w:val="24"/>
          <w:lang w:val="en-GB"/>
        </w:rPr>
        <w:t>,  Proceedings</w:t>
      </w:r>
      <w:proofErr w:type="gramEnd"/>
      <w:r w:rsidRPr="006B2284">
        <w:rPr>
          <w:b w:val="0"/>
          <w:bCs w:val="0"/>
          <w:caps w:val="0"/>
          <w:sz w:val="24"/>
          <w:szCs w:val="24"/>
          <w:lang w:val="en-GB"/>
        </w:rPr>
        <w:t xml:space="preserve"> of extended abstracts, 1094-1095.</w:t>
      </w:r>
    </w:p>
    <w:p w:rsidR="001F59C3" w:rsidRPr="00144408" w:rsidRDefault="001F59C3" w:rsidP="001F59C3">
      <w:pPr>
        <w:rPr>
          <w:rFonts w:ascii="Times New Roman" w:hAnsi="Times New Roman" w:cs="Times New Roman"/>
          <w:sz w:val="24"/>
          <w:szCs w:val="24"/>
        </w:rPr>
      </w:pPr>
      <w:r w:rsidRPr="0025122C">
        <w:rPr>
          <w:rFonts w:ascii="Times New Roman" w:hAnsi="Times New Roman" w:cs="Times New Roman"/>
          <w:sz w:val="24"/>
          <w:szCs w:val="24"/>
        </w:rPr>
        <w:t>N</w:t>
      </w:r>
      <w:r>
        <w:rPr>
          <w:rFonts w:ascii="Times New Roman" w:hAnsi="Times New Roman" w:cs="Times New Roman"/>
          <w:sz w:val="24"/>
          <w:szCs w:val="24"/>
        </w:rPr>
        <w:t>ěmeček</w:t>
      </w:r>
      <w:r w:rsidRPr="0025122C">
        <w:rPr>
          <w:rFonts w:ascii="Times New Roman" w:hAnsi="Times New Roman" w:cs="Times New Roman"/>
          <w:sz w:val="24"/>
          <w:szCs w:val="24"/>
        </w:rPr>
        <w:t xml:space="preserve"> J., P</w:t>
      </w:r>
      <w:r>
        <w:rPr>
          <w:rFonts w:ascii="Times New Roman" w:hAnsi="Times New Roman" w:cs="Times New Roman"/>
          <w:sz w:val="24"/>
          <w:szCs w:val="24"/>
        </w:rPr>
        <w:t>odlešáková</w:t>
      </w:r>
      <w:r w:rsidRPr="0025122C">
        <w:rPr>
          <w:rFonts w:ascii="Times New Roman" w:hAnsi="Times New Roman" w:cs="Times New Roman"/>
          <w:sz w:val="24"/>
          <w:szCs w:val="24"/>
        </w:rPr>
        <w:t xml:space="preserve"> E., </w:t>
      </w:r>
      <w:proofErr w:type="spellStart"/>
      <w:r w:rsidRPr="0025122C">
        <w:rPr>
          <w:rFonts w:ascii="Times New Roman" w:hAnsi="Times New Roman" w:cs="Times New Roman"/>
          <w:sz w:val="24"/>
          <w:szCs w:val="24"/>
        </w:rPr>
        <w:t>P</w:t>
      </w:r>
      <w:r>
        <w:rPr>
          <w:rFonts w:ascii="Times New Roman" w:hAnsi="Times New Roman" w:cs="Times New Roman"/>
          <w:sz w:val="24"/>
          <w:szCs w:val="24"/>
        </w:rPr>
        <w:t>astuszková</w:t>
      </w:r>
      <w:proofErr w:type="spellEnd"/>
      <w:r w:rsidRPr="0025122C">
        <w:rPr>
          <w:rFonts w:ascii="Times New Roman" w:hAnsi="Times New Roman" w:cs="Times New Roman"/>
          <w:sz w:val="24"/>
          <w:szCs w:val="24"/>
        </w:rPr>
        <w:t xml:space="preserve"> M. (1996): Návrh limitů kontaminace půd perzistentními organickými </w:t>
      </w:r>
      <w:proofErr w:type="spellStart"/>
      <w:r w:rsidRPr="0025122C">
        <w:rPr>
          <w:rFonts w:ascii="Times New Roman" w:hAnsi="Times New Roman" w:cs="Times New Roman"/>
          <w:sz w:val="24"/>
          <w:szCs w:val="24"/>
        </w:rPr>
        <w:t>xenobiotickými</w:t>
      </w:r>
      <w:proofErr w:type="spellEnd"/>
      <w:r w:rsidRPr="0025122C">
        <w:rPr>
          <w:rFonts w:ascii="Times New Roman" w:hAnsi="Times New Roman" w:cs="Times New Roman"/>
          <w:sz w:val="24"/>
          <w:szCs w:val="24"/>
        </w:rPr>
        <w:t xml:space="preserve"> látkami pro ČR. Rostlinná výroba, 42 (2): 49-53.</w:t>
      </w:r>
    </w:p>
    <w:p w:rsidR="001F59C3" w:rsidRPr="0017145E" w:rsidRDefault="001F59C3" w:rsidP="001F59C3">
      <w:pPr>
        <w:rPr>
          <w:rFonts w:ascii="Times New Roman" w:hAnsi="Times New Roman" w:cs="Times New Roman"/>
          <w:sz w:val="24"/>
        </w:rPr>
      </w:pPr>
      <w:r>
        <w:rPr>
          <w:rFonts w:ascii="Times New Roman" w:hAnsi="Times New Roman" w:cs="Times New Roman"/>
          <w:sz w:val="24"/>
          <w:szCs w:val="24"/>
        </w:rPr>
        <w:t>Němeček J., Podlešáková E., Macurová H. (1998</w:t>
      </w:r>
      <w:r w:rsidRPr="00997231">
        <w:rPr>
          <w:rFonts w:ascii="Times New Roman" w:hAnsi="Times New Roman" w:cs="Times New Roman"/>
          <w:sz w:val="24"/>
          <w:szCs w:val="24"/>
        </w:rPr>
        <w:t xml:space="preserve">): </w:t>
      </w:r>
      <w:r w:rsidRPr="00997231">
        <w:rPr>
          <w:rFonts w:ascii="Times New Roman" w:hAnsi="Times New Roman" w:cs="Times New Roman"/>
          <w:sz w:val="24"/>
        </w:rPr>
        <w:t>Indikace zátěží půd rizikovými prvky pomocí mikrobiologických a biochemických metod. Rostlinná výroba</w:t>
      </w:r>
      <w:r w:rsidRPr="00997231">
        <w:rPr>
          <w:rFonts w:ascii="Times New Roman" w:hAnsi="Times New Roman" w:cs="Times New Roman"/>
          <w:i/>
          <w:sz w:val="24"/>
        </w:rPr>
        <w:t xml:space="preserve">, </w:t>
      </w:r>
      <w:r>
        <w:rPr>
          <w:rFonts w:ascii="Times New Roman" w:hAnsi="Times New Roman" w:cs="Times New Roman"/>
          <w:sz w:val="24"/>
        </w:rPr>
        <w:t>44 (9): 409-417.</w:t>
      </w:r>
    </w:p>
    <w:p w:rsidR="001F59C3" w:rsidRPr="0017145E" w:rsidRDefault="001F59C3" w:rsidP="001F59C3">
      <w:pPr>
        <w:spacing w:after="120"/>
        <w:rPr>
          <w:rFonts w:ascii="Times New Roman" w:eastAsia="Times New Roman" w:hAnsi="Times New Roman" w:cs="Times New Roman"/>
          <w:sz w:val="24"/>
          <w:szCs w:val="24"/>
          <w:lang w:eastAsia="cs-CZ"/>
        </w:rPr>
      </w:pPr>
      <w:r w:rsidRPr="0017145E">
        <w:rPr>
          <w:rFonts w:ascii="Times New Roman" w:eastAsia="Times New Roman" w:hAnsi="Times New Roman" w:cs="Times New Roman"/>
          <w:sz w:val="24"/>
          <w:szCs w:val="24"/>
          <w:lang w:eastAsia="cs-CZ"/>
        </w:rPr>
        <w:t xml:space="preserve">Němeček J., Smolíková L., Kutílek M. (1990): Pedologie a </w:t>
      </w:r>
      <w:proofErr w:type="spellStart"/>
      <w:r w:rsidRPr="0017145E">
        <w:rPr>
          <w:rFonts w:ascii="Times New Roman" w:eastAsia="Times New Roman" w:hAnsi="Times New Roman" w:cs="Times New Roman"/>
          <w:sz w:val="24"/>
          <w:szCs w:val="24"/>
          <w:lang w:eastAsia="cs-CZ"/>
        </w:rPr>
        <w:t>paleopedologie</w:t>
      </w:r>
      <w:proofErr w:type="spellEnd"/>
      <w:r w:rsidRPr="0017145E">
        <w:rPr>
          <w:rFonts w:ascii="Times New Roman" w:eastAsia="Times New Roman" w:hAnsi="Times New Roman" w:cs="Times New Roman"/>
          <w:sz w:val="24"/>
          <w:szCs w:val="24"/>
          <w:lang w:eastAsia="cs-CZ"/>
        </w:rPr>
        <w:t>, Academia Praha, 1990, 546 stran.</w:t>
      </w:r>
    </w:p>
    <w:p w:rsidR="001F59C3" w:rsidRPr="0025122C" w:rsidRDefault="001F59C3" w:rsidP="001F59C3">
      <w:pPr>
        <w:rPr>
          <w:rFonts w:ascii="Times New Roman" w:hAnsi="Times New Roman" w:cs="Times New Roman"/>
          <w:sz w:val="24"/>
          <w:szCs w:val="24"/>
        </w:rPr>
      </w:pPr>
      <w:r w:rsidRPr="0025122C">
        <w:rPr>
          <w:rFonts w:ascii="Times New Roman" w:hAnsi="Times New Roman" w:cs="Times New Roman"/>
          <w:sz w:val="24"/>
          <w:szCs w:val="24"/>
        </w:rPr>
        <w:t>N</w:t>
      </w:r>
      <w:r>
        <w:rPr>
          <w:rFonts w:ascii="Times New Roman" w:hAnsi="Times New Roman" w:cs="Times New Roman"/>
          <w:sz w:val="24"/>
          <w:szCs w:val="24"/>
        </w:rPr>
        <w:t>ěmeček</w:t>
      </w:r>
      <w:r w:rsidRPr="0025122C">
        <w:rPr>
          <w:rFonts w:ascii="Times New Roman" w:hAnsi="Times New Roman" w:cs="Times New Roman"/>
          <w:sz w:val="24"/>
          <w:szCs w:val="24"/>
        </w:rPr>
        <w:t xml:space="preserve"> J., P</w:t>
      </w:r>
      <w:r>
        <w:rPr>
          <w:rFonts w:ascii="Times New Roman" w:hAnsi="Times New Roman" w:cs="Times New Roman"/>
          <w:sz w:val="24"/>
          <w:szCs w:val="24"/>
        </w:rPr>
        <w:t>odlešáková</w:t>
      </w:r>
      <w:r w:rsidRPr="0025122C">
        <w:rPr>
          <w:rFonts w:ascii="Times New Roman" w:hAnsi="Times New Roman" w:cs="Times New Roman"/>
          <w:sz w:val="24"/>
          <w:szCs w:val="24"/>
        </w:rPr>
        <w:t xml:space="preserve"> E., </w:t>
      </w:r>
      <w:proofErr w:type="spellStart"/>
      <w:r w:rsidRPr="0025122C">
        <w:rPr>
          <w:rFonts w:ascii="Times New Roman" w:hAnsi="Times New Roman" w:cs="Times New Roman"/>
          <w:sz w:val="24"/>
          <w:szCs w:val="24"/>
        </w:rPr>
        <w:t>P</w:t>
      </w:r>
      <w:r>
        <w:rPr>
          <w:rFonts w:ascii="Times New Roman" w:hAnsi="Times New Roman" w:cs="Times New Roman"/>
          <w:sz w:val="24"/>
          <w:szCs w:val="24"/>
        </w:rPr>
        <w:t>astuszková</w:t>
      </w:r>
      <w:proofErr w:type="spellEnd"/>
      <w:r w:rsidRPr="0025122C">
        <w:rPr>
          <w:rFonts w:ascii="Times New Roman" w:hAnsi="Times New Roman" w:cs="Times New Roman"/>
          <w:sz w:val="24"/>
          <w:szCs w:val="24"/>
        </w:rPr>
        <w:t xml:space="preserve"> M. (1996): Návrh limitů kontaminace půd perzistentními organickými </w:t>
      </w:r>
      <w:proofErr w:type="spellStart"/>
      <w:r w:rsidRPr="0025122C">
        <w:rPr>
          <w:rFonts w:ascii="Times New Roman" w:hAnsi="Times New Roman" w:cs="Times New Roman"/>
          <w:sz w:val="24"/>
          <w:szCs w:val="24"/>
        </w:rPr>
        <w:t>xenobiotickými</w:t>
      </w:r>
      <w:proofErr w:type="spellEnd"/>
      <w:r w:rsidRPr="0025122C">
        <w:rPr>
          <w:rFonts w:ascii="Times New Roman" w:hAnsi="Times New Roman" w:cs="Times New Roman"/>
          <w:sz w:val="24"/>
          <w:szCs w:val="24"/>
        </w:rPr>
        <w:t xml:space="preserve"> látkami pro ČR. Rostlinná výroba, 42 (2): 49-53.</w:t>
      </w:r>
    </w:p>
    <w:p w:rsidR="001F59C3" w:rsidRPr="00B94F7E" w:rsidRDefault="001F59C3" w:rsidP="001F59C3">
      <w:pPr>
        <w:rPr>
          <w:rFonts w:ascii="Times New Roman" w:hAnsi="Times New Roman" w:cs="Times New Roman"/>
          <w:sz w:val="24"/>
          <w:szCs w:val="24"/>
        </w:rPr>
      </w:pPr>
      <w:r w:rsidRPr="00B94F7E">
        <w:rPr>
          <w:rStyle w:val="Siln"/>
          <w:rFonts w:ascii="Times New Roman" w:hAnsi="Times New Roman" w:cs="Times New Roman"/>
          <w:b w:val="0"/>
          <w:sz w:val="24"/>
          <w:szCs w:val="24"/>
        </w:rPr>
        <w:t>Němeček J.</w:t>
      </w:r>
      <w:r w:rsidRPr="005019FD">
        <w:rPr>
          <w:rFonts w:ascii="Times New Roman" w:hAnsi="Times New Roman" w:cs="Times New Roman"/>
          <w:sz w:val="24"/>
          <w:szCs w:val="24"/>
        </w:rPr>
        <w:t>, Podlešáková E., Vách</w:t>
      </w:r>
      <w:r>
        <w:rPr>
          <w:rFonts w:ascii="Times New Roman" w:hAnsi="Times New Roman" w:cs="Times New Roman"/>
          <w:sz w:val="24"/>
          <w:szCs w:val="24"/>
        </w:rPr>
        <w:t>a</w:t>
      </w:r>
      <w:r w:rsidRPr="005019FD">
        <w:rPr>
          <w:rFonts w:ascii="Times New Roman" w:hAnsi="Times New Roman" w:cs="Times New Roman"/>
          <w:sz w:val="24"/>
          <w:szCs w:val="24"/>
        </w:rPr>
        <w:t xml:space="preserve"> R. (2001): </w:t>
      </w:r>
      <w:proofErr w:type="spellStart"/>
      <w:r w:rsidRPr="005019FD">
        <w:rPr>
          <w:rFonts w:ascii="Times New Roman" w:hAnsi="Times New Roman" w:cs="Times New Roman"/>
          <w:sz w:val="24"/>
          <w:szCs w:val="24"/>
        </w:rPr>
        <w:t>Prediction</w:t>
      </w:r>
      <w:proofErr w:type="spellEnd"/>
      <w:r w:rsidRPr="005019FD">
        <w:rPr>
          <w:rFonts w:ascii="Times New Roman" w:hAnsi="Times New Roman" w:cs="Times New Roman"/>
          <w:sz w:val="24"/>
          <w:szCs w:val="24"/>
        </w:rPr>
        <w:t xml:space="preserve"> </w:t>
      </w:r>
      <w:proofErr w:type="spellStart"/>
      <w:r w:rsidRPr="005019FD">
        <w:rPr>
          <w:rFonts w:ascii="Times New Roman" w:hAnsi="Times New Roman" w:cs="Times New Roman"/>
          <w:sz w:val="24"/>
          <w:szCs w:val="24"/>
        </w:rPr>
        <w:t>of</w:t>
      </w:r>
      <w:proofErr w:type="spellEnd"/>
      <w:r w:rsidRPr="005019FD">
        <w:rPr>
          <w:rFonts w:ascii="Times New Roman" w:hAnsi="Times New Roman" w:cs="Times New Roman"/>
          <w:sz w:val="24"/>
          <w:szCs w:val="24"/>
        </w:rPr>
        <w:t xml:space="preserve"> </w:t>
      </w:r>
      <w:proofErr w:type="spellStart"/>
      <w:r w:rsidRPr="005019FD">
        <w:rPr>
          <w:rFonts w:ascii="Times New Roman" w:hAnsi="Times New Roman" w:cs="Times New Roman"/>
          <w:sz w:val="24"/>
          <w:szCs w:val="24"/>
        </w:rPr>
        <w:t>the</w:t>
      </w:r>
      <w:proofErr w:type="spellEnd"/>
      <w:r w:rsidRPr="005019FD">
        <w:rPr>
          <w:rFonts w:ascii="Times New Roman" w:hAnsi="Times New Roman" w:cs="Times New Roman"/>
          <w:sz w:val="24"/>
          <w:szCs w:val="24"/>
        </w:rPr>
        <w:t xml:space="preserve"> transfer </w:t>
      </w:r>
      <w:proofErr w:type="spellStart"/>
      <w:r w:rsidRPr="005019FD">
        <w:rPr>
          <w:rFonts w:ascii="Times New Roman" w:hAnsi="Times New Roman" w:cs="Times New Roman"/>
          <w:sz w:val="24"/>
          <w:szCs w:val="24"/>
        </w:rPr>
        <w:t>of</w:t>
      </w:r>
      <w:proofErr w:type="spellEnd"/>
      <w:r w:rsidRPr="005019FD">
        <w:rPr>
          <w:rFonts w:ascii="Times New Roman" w:hAnsi="Times New Roman" w:cs="Times New Roman"/>
          <w:sz w:val="24"/>
          <w:szCs w:val="24"/>
        </w:rPr>
        <w:t xml:space="preserve"> </w:t>
      </w:r>
      <w:proofErr w:type="spellStart"/>
      <w:r w:rsidRPr="005019FD">
        <w:rPr>
          <w:rFonts w:ascii="Times New Roman" w:hAnsi="Times New Roman" w:cs="Times New Roman"/>
          <w:sz w:val="24"/>
          <w:szCs w:val="24"/>
        </w:rPr>
        <w:t>trace</w:t>
      </w:r>
      <w:proofErr w:type="spellEnd"/>
      <w:r w:rsidRPr="005019FD">
        <w:rPr>
          <w:rFonts w:ascii="Times New Roman" w:hAnsi="Times New Roman" w:cs="Times New Roman"/>
          <w:sz w:val="24"/>
          <w:szCs w:val="24"/>
        </w:rPr>
        <w:t xml:space="preserve"> </w:t>
      </w:r>
      <w:proofErr w:type="spellStart"/>
      <w:r w:rsidRPr="005019FD">
        <w:rPr>
          <w:rFonts w:ascii="Times New Roman" w:hAnsi="Times New Roman" w:cs="Times New Roman"/>
          <w:sz w:val="24"/>
          <w:szCs w:val="24"/>
        </w:rPr>
        <w:t>elements</w:t>
      </w:r>
      <w:proofErr w:type="spellEnd"/>
      <w:r w:rsidRPr="005019FD">
        <w:rPr>
          <w:rFonts w:ascii="Times New Roman" w:hAnsi="Times New Roman" w:cs="Times New Roman"/>
          <w:sz w:val="24"/>
          <w:szCs w:val="24"/>
        </w:rPr>
        <w:t xml:space="preserve"> </w:t>
      </w:r>
      <w:proofErr w:type="spellStart"/>
      <w:r w:rsidRPr="005019FD">
        <w:rPr>
          <w:rFonts w:ascii="Times New Roman" w:hAnsi="Times New Roman" w:cs="Times New Roman"/>
          <w:sz w:val="24"/>
          <w:szCs w:val="24"/>
        </w:rPr>
        <w:t>from</w:t>
      </w:r>
      <w:proofErr w:type="spellEnd"/>
      <w:r w:rsidRPr="005019FD">
        <w:rPr>
          <w:rFonts w:ascii="Times New Roman" w:hAnsi="Times New Roman" w:cs="Times New Roman"/>
          <w:sz w:val="24"/>
          <w:szCs w:val="24"/>
        </w:rPr>
        <w:t xml:space="preserve"> </w:t>
      </w:r>
      <w:proofErr w:type="spellStart"/>
      <w:r w:rsidRPr="005019FD">
        <w:rPr>
          <w:rFonts w:ascii="Times New Roman" w:hAnsi="Times New Roman" w:cs="Times New Roman"/>
          <w:sz w:val="24"/>
          <w:szCs w:val="24"/>
        </w:rPr>
        <w:t>soils</w:t>
      </w:r>
      <w:proofErr w:type="spellEnd"/>
      <w:r w:rsidRPr="005019FD">
        <w:rPr>
          <w:rFonts w:ascii="Times New Roman" w:hAnsi="Times New Roman" w:cs="Times New Roman"/>
          <w:sz w:val="24"/>
          <w:szCs w:val="24"/>
        </w:rPr>
        <w:t xml:space="preserve"> </w:t>
      </w:r>
      <w:proofErr w:type="spellStart"/>
      <w:r w:rsidRPr="005019FD">
        <w:rPr>
          <w:rFonts w:ascii="Times New Roman" w:hAnsi="Times New Roman" w:cs="Times New Roman"/>
          <w:sz w:val="24"/>
          <w:szCs w:val="24"/>
        </w:rPr>
        <w:t>into</w:t>
      </w:r>
      <w:proofErr w:type="spellEnd"/>
      <w:r w:rsidRPr="005019FD">
        <w:rPr>
          <w:rFonts w:ascii="Times New Roman" w:hAnsi="Times New Roman" w:cs="Times New Roman"/>
          <w:sz w:val="24"/>
          <w:szCs w:val="24"/>
        </w:rPr>
        <w:t xml:space="preserve"> </w:t>
      </w:r>
      <w:proofErr w:type="spellStart"/>
      <w:r w:rsidRPr="005019FD">
        <w:rPr>
          <w:rFonts w:ascii="Times New Roman" w:hAnsi="Times New Roman" w:cs="Times New Roman"/>
          <w:sz w:val="24"/>
          <w:szCs w:val="24"/>
        </w:rPr>
        <w:t>plants</w:t>
      </w:r>
      <w:proofErr w:type="spellEnd"/>
      <w:r w:rsidRPr="005019FD">
        <w:rPr>
          <w:rFonts w:ascii="Times New Roman" w:hAnsi="Times New Roman" w:cs="Times New Roman"/>
          <w:sz w:val="24"/>
          <w:szCs w:val="24"/>
        </w:rPr>
        <w:t>, Rostlinná výroba, 47 (10)</w:t>
      </w:r>
      <w:r>
        <w:rPr>
          <w:rFonts w:ascii="Times New Roman" w:hAnsi="Times New Roman" w:cs="Times New Roman"/>
          <w:sz w:val="24"/>
          <w:szCs w:val="24"/>
        </w:rPr>
        <w:t xml:space="preserve">: 425-432. </w:t>
      </w:r>
    </w:p>
    <w:p w:rsidR="001F59C3" w:rsidRPr="0017145E" w:rsidRDefault="001F59C3" w:rsidP="001F59C3">
      <w:pPr>
        <w:spacing w:after="120"/>
        <w:rPr>
          <w:rFonts w:ascii="Times New Roman" w:hAnsi="Times New Roman" w:cs="Times New Roman"/>
          <w:sz w:val="24"/>
        </w:rPr>
      </w:pPr>
      <w:r w:rsidRPr="00E35741">
        <w:rPr>
          <w:rFonts w:ascii="Times New Roman" w:hAnsi="Times New Roman" w:cs="Times New Roman"/>
          <w:sz w:val="24"/>
        </w:rPr>
        <w:t>Němeček J.</w:t>
      </w:r>
      <w:r>
        <w:rPr>
          <w:rFonts w:ascii="Times New Roman" w:hAnsi="Times New Roman" w:cs="Times New Roman"/>
          <w:sz w:val="24"/>
        </w:rPr>
        <w:t>,</w:t>
      </w:r>
      <w:r w:rsidRPr="00E35741">
        <w:rPr>
          <w:rFonts w:ascii="Times New Roman" w:hAnsi="Times New Roman" w:cs="Times New Roman"/>
          <w:sz w:val="24"/>
        </w:rPr>
        <w:t xml:space="preserve"> Vácha R., Podlešáková E.</w:t>
      </w:r>
      <w:r w:rsidRPr="00E35741">
        <w:rPr>
          <w:rFonts w:ascii="Times New Roman" w:hAnsi="Times New Roman" w:cs="Times New Roman"/>
          <w:caps/>
          <w:sz w:val="24"/>
        </w:rPr>
        <w:t xml:space="preserve"> (2010): </w:t>
      </w:r>
      <w:r w:rsidRPr="00E35741">
        <w:rPr>
          <w:rFonts w:ascii="Times New Roman" w:hAnsi="Times New Roman" w:cs="Times New Roman"/>
          <w:sz w:val="24"/>
        </w:rPr>
        <w:t xml:space="preserve">Hodnocení kontaminace půd v ČR. VÚMOP, </w:t>
      </w:r>
      <w:proofErr w:type="spellStart"/>
      <w:proofErr w:type="gramStart"/>
      <w:r w:rsidRPr="00E35741">
        <w:rPr>
          <w:rFonts w:ascii="Times New Roman" w:hAnsi="Times New Roman" w:cs="Times New Roman"/>
          <w:sz w:val="24"/>
        </w:rPr>
        <w:t>v.v.</w:t>
      </w:r>
      <w:proofErr w:type="gramEnd"/>
      <w:r w:rsidRPr="00E35741">
        <w:rPr>
          <w:rFonts w:ascii="Times New Roman" w:hAnsi="Times New Roman" w:cs="Times New Roman"/>
          <w:sz w:val="24"/>
        </w:rPr>
        <w:t>i</w:t>
      </w:r>
      <w:proofErr w:type="spellEnd"/>
      <w:r w:rsidRPr="00E35741">
        <w:rPr>
          <w:rFonts w:ascii="Times New Roman" w:hAnsi="Times New Roman" w:cs="Times New Roman"/>
          <w:sz w:val="24"/>
        </w:rPr>
        <w:t>., Praha</w:t>
      </w:r>
      <w:r>
        <w:rPr>
          <w:rFonts w:ascii="Times New Roman" w:hAnsi="Times New Roman" w:cs="Times New Roman"/>
          <w:sz w:val="24"/>
        </w:rPr>
        <w:t>, 148 s. ISBN 978-80-86561-02-4</w:t>
      </w:r>
    </w:p>
    <w:p w:rsidR="001F59C3" w:rsidRPr="00FF0C06" w:rsidRDefault="001F59C3" w:rsidP="001F59C3">
      <w:pPr>
        <w:spacing w:after="120"/>
        <w:rPr>
          <w:rFonts w:ascii="Times New Roman" w:hAnsi="Times New Roman" w:cs="Times New Roman"/>
          <w:sz w:val="24"/>
        </w:rPr>
      </w:pPr>
      <w:proofErr w:type="spellStart"/>
      <w:r w:rsidRPr="00FF0C06">
        <w:rPr>
          <w:rFonts w:ascii="Times New Roman" w:hAnsi="Times New Roman" w:cs="Times New Roman"/>
          <w:sz w:val="24"/>
        </w:rPr>
        <w:t>Peijnenburg</w:t>
      </w:r>
      <w:proofErr w:type="spellEnd"/>
      <w:r w:rsidRPr="00FF0C06">
        <w:rPr>
          <w:rFonts w:ascii="Times New Roman" w:hAnsi="Times New Roman" w:cs="Times New Roman"/>
          <w:sz w:val="24"/>
        </w:rPr>
        <w:t xml:space="preserve"> W. J. G. M.</w:t>
      </w:r>
      <w:r>
        <w:rPr>
          <w:rFonts w:ascii="Times New Roman" w:hAnsi="Times New Roman" w:cs="Times New Roman"/>
          <w:sz w:val="24"/>
        </w:rPr>
        <w:t xml:space="preserve"> (1998)</w:t>
      </w:r>
      <w:r w:rsidRPr="00FF0C06">
        <w:rPr>
          <w:rFonts w:ascii="Times New Roman" w:hAnsi="Times New Roman" w:cs="Times New Roman"/>
          <w:sz w:val="24"/>
        </w:rPr>
        <w:t xml:space="preserve">: </w:t>
      </w:r>
      <w:proofErr w:type="spellStart"/>
      <w:r w:rsidRPr="00FF0C06">
        <w:rPr>
          <w:rFonts w:ascii="Times New Roman" w:hAnsi="Times New Roman" w:cs="Times New Roman"/>
          <w:sz w:val="24"/>
        </w:rPr>
        <w:t>Equilibrium</w:t>
      </w:r>
      <w:proofErr w:type="spellEnd"/>
      <w:r w:rsidRPr="00FF0C06">
        <w:rPr>
          <w:rFonts w:ascii="Times New Roman" w:hAnsi="Times New Roman" w:cs="Times New Roman"/>
          <w:sz w:val="24"/>
        </w:rPr>
        <w:t xml:space="preserve"> </w:t>
      </w:r>
      <w:proofErr w:type="spellStart"/>
      <w:r w:rsidRPr="00FF0C06">
        <w:rPr>
          <w:rFonts w:ascii="Times New Roman" w:hAnsi="Times New Roman" w:cs="Times New Roman"/>
          <w:sz w:val="24"/>
        </w:rPr>
        <w:t>partitioning</w:t>
      </w:r>
      <w:proofErr w:type="spellEnd"/>
      <w:r w:rsidRPr="00FF0C06">
        <w:rPr>
          <w:rFonts w:ascii="Times New Roman" w:hAnsi="Times New Roman" w:cs="Times New Roman"/>
          <w:sz w:val="24"/>
        </w:rPr>
        <w:t xml:space="preserve"> </w:t>
      </w:r>
      <w:proofErr w:type="spellStart"/>
      <w:r w:rsidRPr="00FF0C06">
        <w:rPr>
          <w:rFonts w:ascii="Times New Roman" w:hAnsi="Times New Roman" w:cs="Times New Roman"/>
          <w:sz w:val="24"/>
        </w:rPr>
        <w:t>of</w:t>
      </w:r>
      <w:proofErr w:type="spellEnd"/>
      <w:r w:rsidRPr="00FF0C06">
        <w:rPr>
          <w:rFonts w:ascii="Times New Roman" w:hAnsi="Times New Roman" w:cs="Times New Roman"/>
          <w:sz w:val="24"/>
        </w:rPr>
        <w:t xml:space="preserve"> </w:t>
      </w:r>
      <w:proofErr w:type="spellStart"/>
      <w:r w:rsidRPr="00FF0C06">
        <w:rPr>
          <w:rFonts w:ascii="Times New Roman" w:hAnsi="Times New Roman" w:cs="Times New Roman"/>
          <w:sz w:val="24"/>
        </w:rPr>
        <w:t>heavy</w:t>
      </w:r>
      <w:proofErr w:type="spellEnd"/>
      <w:r w:rsidRPr="00FF0C06">
        <w:rPr>
          <w:rFonts w:ascii="Times New Roman" w:hAnsi="Times New Roman" w:cs="Times New Roman"/>
          <w:sz w:val="24"/>
        </w:rPr>
        <w:t xml:space="preserve"> metals in </w:t>
      </w:r>
      <w:proofErr w:type="spellStart"/>
      <w:r w:rsidRPr="00FF0C06">
        <w:rPr>
          <w:rFonts w:ascii="Times New Roman" w:hAnsi="Times New Roman" w:cs="Times New Roman"/>
          <w:sz w:val="24"/>
        </w:rPr>
        <w:t>dutch</w:t>
      </w:r>
      <w:proofErr w:type="spellEnd"/>
      <w:r w:rsidRPr="00FF0C06">
        <w:rPr>
          <w:rFonts w:ascii="Times New Roman" w:hAnsi="Times New Roman" w:cs="Times New Roman"/>
          <w:sz w:val="24"/>
        </w:rPr>
        <w:t xml:space="preserve"> </w:t>
      </w:r>
      <w:proofErr w:type="spellStart"/>
      <w:r w:rsidRPr="00FF0C06">
        <w:rPr>
          <w:rFonts w:ascii="Times New Roman" w:hAnsi="Times New Roman" w:cs="Times New Roman"/>
          <w:sz w:val="24"/>
        </w:rPr>
        <w:t>field</w:t>
      </w:r>
      <w:proofErr w:type="spellEnd"/>
      <w:r w:rsidRPr="00FF0C06">
        <w:rPr>
          <w:rFonts w:ascii="Times New Roman" w:hAnsi="Times New Roman" w:cs="Times New Roman"/>
          <w:sz w:val="24"/>
        </w:rPr>
        <w:t xml:space="preserve"> </w:t>
      </w:r>
      <w:proofErr w:type="spellStart"/>
      <w:r w:rsidRPr="00FF0C06">
        <w:rPr>
          <w:rFonts w:ascii="Times New Roman" w:hAnsi="Times New Roman" w:cs="Times New Roman"/>
          <w:sz w:val="24"/>
        </w:rPr>
        <w:t>soils</w:t>
      </w:r>
      <w:proofErr w:type="spellEnd"/>
      <w:r w:rsidRPr="00FF0C06">
        <w:rPr>
          <w:rFonts w:ascii="Times New Roman" w:hAnsi="Times New Roman" w:cs="Times New Roman"/>
          <w:sz w:val="24"/>
        </w:rPr>
        <w:t xml:space="preserve">. In Podlešáková, E.  </w:t>
      </w:r>
      <w:proofErr w:type="gramStart"/>
      <w:r w:rsidRPr="00FF0C06">
        <w:rPr>
          <w:rFonts w:ascii="Times New Roman" w:hAnsi="Times New Roman" w:cs="Times New Roman"/>
          <w:sz w:val="24"/>
        </w:rPr>
        <w:t>et</w:t>
      </w:r>
      <w:proofErr w:type="gramEnd"/>
      <w:r w:rsidRPr="00FF0C06">
        <w:rPr>
          <w:rFonts w:ascii="Times New Roman" w:hAnsi="Times New Roman" w:cs="Times New Roman"/>
          <w:sz w:val="24"/>
        </w:rPr>
        <w:t xml:space="preserve"> al. 2000: Limity kontaminace a ochrany potravního řetězce. Realizační výstup za Projekt výzkumu a vývoje </w:t>
      </w:r>
      <w:proofErr w:type="spellStart"/>
      <w:r w:rsidRPr="00FF0C06">
        <w:rPr>
          <w:rFonts w:ascii="Times New Roman" w:hAnsi="Times New Roman" w:cs="Times New Roman"/>
          <w:sz w:val="24"/>
        </w:rPr>
        <w:t>MZe</w:t>
      </w:r>
      <w:proofErr w:type="spellEnd"/>
      <w:r w:rsidRPr="00FF0C06">
        <w:rPr>
          <w:rFonts w:ascii="Times New Roman" w:hAnsi="Times New Roman" w:cs="Times New Roman"/>
          <w:sz w:val="24"/>
        </w:rPr>
        <w:t xml:space="preserve"> ČR a NAZV, program 09: Hodnocení, uchování a zvýšení produkčního potenciálu a základních ekologických funkcí, úkol „Zatížení půd rizikovými látkami ve vztahu k zajištění polyfunkčnosti půdy, 32 stran.</w:t>
      </w:r>
    </w:p>
    <w:p w:rsidR="001F59C3" w:rsidRPr="00B94F7E" w:rsidRDefault="001F59C3" w:rsidP="001F59C3">
      <w:pPr>
        <w:rPr>
          <w:rFonts w:ascii="Times New Roman" w:hAnsi="Times New Roman" w:cs="Times New Roman"/>
          <w:sz w:val="24"/>
          <w:szCs w:val="24"/>
        </w:rPr>
      </w:pPr>
      <w:r w:rsidRPr="0025122C">
        <w:rPr>
          <w:rFonts w:ascii="Times New Roman" w:hAnsi="Times New Roman" w:cs="Times New Roman"/>
          <w:sz w:val="24"/>
          <w:szCs w:val="24"/>
        </w:rPr>
        <w:t>P</w:t>
      </w:r>
      <w:r>
        <w:rPr>
          <w:rFonts w:ascii="Times New Roman" w:hAnsi="Times New Roman" w:cs="Times New Roman"/>
          <w:sz w:val="24"/>
          <w:szCs w:val="24"/>
        </w:rPr>
        <w:t>odlešáková</w:t>
      </w:r>
      <w:r w:rsidRPr="0025122C">
        <w:rPr>
          <w:rFonts w:ascii="Times New Roman" w:hAnsi="Times New Roman" w:cs="Times New Roman"/>
          <w:sz w:val="24"/>
          <w:szCs w:val="24"/>
        </w:rPr>
        <w:t xml:space="preserve"> E., N</w:t>
      </w:r>
      <w:r>
        <w:rPr>
          <w:rFonts w:ascii="Times New Roman" w:hAnsi="Times New Roman" w:cs="Times New Roman"/>
          <w:sz w:val="24"/>
          <w:szCs w:val="24"/>
        </w:rPr>
        <w:t>ěmeček</w:t>
      </w:r>
      <w:r w:rsidRPr="0025122C">
        <w:rPr>
          <w:rFonts w:ascii="Times New Roman" w:hAnsi="Times New Roman" w:cs="Times New Roman"/>
          <w:sz w:val="24"/>
          <w:szCs w:val="24"/>
        </w:rPr>
        <w:t xml:space="preserve"> J., H</w:t>
      </w:r>
      <w:r>
        <w:rPr>
          <w:rFonts w:ascii="Times New Roman" w:hAnsi="Times New Roman" w:cs="Times New Roman"/>
          <w:sz w:val="24"/>
          <w:szCs w:val="24"/>
        </w:rPr>
        <w:t>álová</w:t>
      </w:r>
      <w:r w:rsidRPr="0025122C">
        <w:rPr>
          <w:rFonts w:ascii="Times New Roman" w:hAnsi="Times New Roman" w:cs="Times New Roman"/>
          <w:sz w:val="24"/>
          <w:szCs w:val="24"/>
        </w:rPr>
        <w:t xml:space="preserve"> G. (1994): </w:t>
      </w:r>
      <w:proofErr w:type="spellStart"/>
      <w:r w:rsidRPr="0025122C">
        <w:rPr>
          <w:rFonts w:ascii="Times New Roman" w:hAnsi="Times New Roman" w:cs="Times New Roman"/>
          <w:sz w:val="24"/>
          <w:szCs w:val="24"/>
        </w:rPr>
        <w:t>Pozaďové</w:t>
      </w:r>
      <w:proofErr w:type="spellEnd"/>
      <w:r w:rsidRPr="0025122C">
        <w:rPr>
          <w:rFonts w:ascii="Times New Roman" w:hAnsi="Times New Roman" w:cs="Times New Roman"/>
          <w:sz w:val="24"/>
          <w:szCs w:val="24"/>
        </w:rPr>
        <w:t xml:space="preserve"> hodnoty obsahu potenciálně rizikových prvků v půdách ČR (celkové obsahy). Rostlinná výroba, 40 (12): 1095-1105.</w:t>
      </w:r>
    </w:p>
    <w:p w:rsidR="001F59C3" w:rsidRPr="001F59C3" w:rsidRDefault="001F59C3" w:rsidP="001F59C3">
      <w:pPr>
        <w:spacing w:after="120"/>
        <w:rPr>
          <w:rFonts w:ascii="Times New Roman" w:eastAsia="Times New Roman" w:hAnsi="Times New Roman" w:cs="Times New Roman"/>
          <w:sz w:val="24"/>
          <w:szCs w:val="24"/>
          <w:lang w:eastAsia="cs-CZ"/>
        </w:rPr>
      </w:pPr>
      <w:r w:rsidRPr="00244AD0">
        <w:rPr>
          <w:rFonts w:ascii="Times New Roman" w:eastAsia="Times New Roman" w:hAnsi="Times New Roman" w:cs="Times New Roman"/>
          <w:sz w:val="24"/>
          <w:szCs w:val="24"/>
          <w:lang w:eastAsia="cs-CZ"/>
        </w:rPr>
        <w:t xml:space="preserve">Podlešáková E.  </w:t>
      </w:r>
      <w:proofErr w:type="gramStart"/>
      <w:r w:rsidRPr="001F59C3">
        <w:rPr>
          <w:rFonts w:ascii="Times New Roman" w:eastAsia="Times New Roman" w:hAnsi="Times New Roman" w:cs="Times New Roman"/>
          <w:sz w:val="24"/>
          <w:szCs w:val="24"/>
          <w:lang w:eastAsia="cs-CZ"/>
        </w:rPr>
        <w:t>et</w:t>
      </w:r>
      <w:proofErr w:type="gramEnd"/>
      <w:r w:rsidRPr="001F59C3">
        <w:rPr>
          <w:rFonts w:ascii="Times New Roman" w:eastAsia="Times New Roman" w:hAnsi="Times New Roman" w:cs="Times New Roman"/>
          <w:sz w:val="24"/>
          <w:szCs w:val="24"/>
          <w:lang w:eastAsia="cs-CZ"/>
        </w:rPr>
        <w:t xml:space="preserve"> al. (1997): Průvodní zpráva k souboru map </w:t>
      </w:r>
      <w:proofErr w:type="spellStart"/>
      <w:r w:rsidRPr="001F59C3">
        <w:rPr>
          <w:rFonts w:ascii="Times New Roman" w:eastAsia="Times New Roman" w:hAnsi="Times New Roman" w:cs="Times New Roman"/>
          <w:sz w:val="24"/>
          <w:szCs w:val="24"/>
          <w:lang w:eastAsia="cs-CZ"/>
        </w:rPr>
        <w:t>pozaďových</w:t>
      </w:r>
      <w:proofErr w:type="spellEnd"/>
      <w:r w:rsidRPr="001F59C3">
        <w:rPr>
          <w:rFonts w:ascii="Times New Roman" w:eastAsia="Times New Roman" w:hAnsi="Times New Roman" w:cs="Times New Roman"/>
          <w:sz w:val="24"/>
          <w:szCs w:val="24"/>
          <w:lang w:eastAsia="cs-CZ"/>
        </w:rPr>
        <w:t xml:space="preserve"> hodnot v půdách ČR a zranitelnosti půd vzhledem k mobilitě stopových prvků. Úkol "Zatížení půd rizikovými látkami ve vztahu k zajištění polyfunkčnosti půdy" Projektu výzkumu a vývoje </w:t>
      </w:r>
      <w:proofErr w:type="spellStart"/>
      <w:r w:rsidRPr="001F59C3">
        <w:rPr>
          <w:rFonts w:ascii="Times New Roman" w:eastAsia="Times New Roman" w:hAnsi="Times New Roman" w:cs="Times New Roman"/>
          <w:sz w:val="24"/>
          <w:szCs w:val="24"/>
          <w:lang w:eastAsia="cs-CZ"/>
        </w:rPr>
        <w:t>MZe</w:t>
      </w:r>
      <w:proofErr w:type="spellEnd"/>
      <w:r w:rsidRPr="001F59C3">
        <w:rPr>
          <w:rFonts w:ascii="Times New Roman" w:eastAsia="Times New Roman" w:hAnsi="Times New Roman" w:cs="Times New Roman"/>
          <w:sz w:val="24"/>
          <w:szCs w:val="24"/>
          <w:lang w:eastAsia="cs-CZ"/>
        </w:rPr>
        <w:t xml:space="preserve"> ČR a NAZV, program 09, prosinec 1997, 4 str., 6 tab., souhrnná informace, soubor map.</w:t>
      </w:r>
    </w:p>
    <w:p w:rsidR="001F59C3" w:rsidRDefault="001F59C3" w:rsidP="001F59C3">
      <w:pPr>
        <w:spacing w:after="120"/>
        <w:jc w:val="both"/>
        <w:rPr>
          <w:rFonts w:ascii="Times New Roman" w:hAnsi="Times New Roman"/>
          <w:sz w:val="24"/>
          <w:szCs w:val="24"/>
          <w:lang w:val="en-GB"/>
        </w:rPr>
      </w:pPr>
      <w:proofErr w:type="spellStart"/>
      <w:r w:rsidRPr="00661A7F">
        <w:rPr>
          <w:rFonts w:ascii="Times New Roman" w:hAnsi="Times New Roman"/>
          <w:sz w:val="24"/>
          <w:szCs w:val="24"/>
          <w:lang w:val="en-GB"/>
        </w:rPr>
        <w:t>Podlešáková</w:t>
      </w:r>
      <w:proofErr w:type="spellEnd"/>
      <w:r w:rsidRPr="00661A7F">
        <w:rPr>
          <w:rFonts w:ascii="Times New Roman" w:hAnsi="Times New Roman"/>
          <w:sz w:val="24"/>
          <w:szCs w:val="24"/>
          <w:lang w:val="en-GB"/>
        </w:rPr>
        <w:t xml:space="preserve"> E., </w:t>
      </w:r>
      <w:proofErr w:type="spellStart"/>
      <w:r w:rsidRPr="00661A7F">
        <w:rPr>
          <w:rFonts w:ascii="Times New Roman" w:hAnsi="Times New Roman"/>
          <w:sz w:val="24"/>
          <w:szCs w:val="24"/>
          <w:lang w:val="en-GB"/>
        </w:rPr>
        <w:t>Němeček</w:t>
      </w:r>
      <w:proofErr w:type="spellEnd"/>
      <w:r w:rsidRPr="00661A7F">
        <w:rPr>
          <w:rFonts w:ascii="Times New Roman" w:hAnsi="Times New Roman"/>
          <w:sz w:val="24"/>
          <w:szCs w:val="24"/>
          <w:lang w:val="en-GB"/>
        </w:rPr>
        <w:t xml:space="preserve"> J., Vácha R., </w:t>
      </w:r>
      <w:proofErr w:type="spellStart"/>
      <w:r w:rsidRPr="00661A7F">
        <w:rPr>
          <w:rFonts w:ascii="Times New Roman" w:hAnsi="Times New Roman"/>
          <w:sz w:val="24"/>
          <w:szCs w:val="24"/>
          <w:lang w:val="en-GB"/>
        </w:rPr>
        <w:t>Pastuszková</w:t>
      </w:r>
      <w:proofErr w:type="spellEnd"/>
      <w:r w:rsidRPr="00661A7F">
        <w:rPr>
          <w:rFonts w:ascii="Times New Roman" w:hAnsi="Times New Roman"/>
          <w:sz w:val="24"/>
          <w:szCs w:val="24"/>
          <w:lang w:val="en-GB"/>
        </w:rPr>
        <w:t xml:space="preserve"> M. (1998)</w:t>
      </w:r>
      <w:r>
        <w:rPr>
          <w:rFonts w:ascii="Times New Roman" w:hAnsi="Times New Roman"/>
          <w:sz w:val="24"/>
          <w:szCs w:val="24"/>
          <w:lang w:val="en-GB"/>
        </w:rPr>
        <w:t>:</w:t>
      </w:r>
      <w:r w:rsidRPr="00661A7F">
        <w:rPr>
          <w:rFonts w:ascii="Times New Roman" w:hAnsi="Times New Roman"/>
          <w:sz w:val="24"/>
          <w:szCs w:val="24"/>
          <w:lang w:val="en-GB"/>
        </w:rPr>
        <w:t xml:space="preserve"> Contamination of soils with persistent organic xenobiotic substances in the Czech Republic. Toxicological and Environmental Chemistry, 66: 91-103.</w:t>
      </w:r>
    </w:p>
    <w:p w:rsidR="001F59C3" w:rsidRPr="00B94F7E" w:rsidRDefault="001F59C3" w:rsidP="001F59C3">
      <w:pPr>
        <w:spacing w:after="120"/>
        <w:jc w:val="both"/>
        <w:rPr>
          <w:rFonts w:ascii="Times New Roman" w:hAnsi="Times New Roman" w:cs="Times New Roman"/>
          <w:sz w:val="24"/>
          <w:szCs w:val="24"/>
          <w:lang w:val="en-GB"/>
        </w:rPr>
      </w:pPr>
      <w:proofErr w:type="spellStart"/>
      <w:r w:rsidRPr="00661A7F">
        <w:rPr>
          <w:rFonts w:ascii="Times New Roman" w:hAnsi="Times New Roman"/>
          <w:sz w:val="24"/>
          <w:szCs w:val="24"/>
          <w:lang w:val="en-GB"/>
        </w:rPr>
        <w:t>Podle</w:t>
      </w:r>
      <w:r>
        <w:rPr>
          <w:rFonts w:ascii="Times New Roman" w:hAnsi="Times New Roman"/>
          <w:sz w:val="24"/>
          <w:szCs w:val="24"/>
          <w:lang w:val="en-GB"/>
        </w:rPr>
        <w:t>šáková</w:t>
      </w:r>
      <w:proofErr w:type="spellEnd"/>
      <w:r>
        <w:rPr>
          <w:rFonts w:ascii="Times New Roman" w:hAnsi="Times New Roman"/>
          <w:sz w:val="24"/>
          <w:szCs w:val="24"/>
          <w:lang w:val="en-GB"/>
        </w:rPr>
        <w:t xml:space="preserve"> E., </w:t>
      </w:r>
      <w:proofErr w:type="spellStart"/>
      <w:r>
        <w:rPr>
          <w:rFonts w:ascii="Times New Roman" w:hAnsi="Times New Roman"/>
          <w:sz w:val="24"/>
          <w:szCs w:val="24"/>
          <w:lang w:val="en-GB"/>
        </w:rPr>
        <w:t>Němeček</w:t>
      </w:r>
      <w:proofErr w:type="spellEnd"/>
      <w:r>
        <w:rPr>
          <w:rFonts w:ascii="Times New Roman" w:hAnsi="Times New Roman"/>
          <w:sz w:val="24"/>
          <w:szCs w:val="24"/>
          <w:lang w:val="en-GB"/>
        </w:rPr>
        <w:t xml:space="preserve"> J., Vácha R. (2001): </w:t>
      </w:r>
      <w:r w:rsidRPr="004604E3">
        <w:rPr>
          <w:rFonts w:ascii="Times New Roman" w:hAnsi="Times New Roman" w:cs="Times New Roman"/>
          <w:color w:val="000000"/>
          <w:sz w:val="24"/>
        </w:rPr>
        <w:t xml:space="preserve">Mobility and </w:t>
      </w:r>
      <w:proofErr w:type="spellStart"/>
      <w:r w:rsidRPr="004604E3">
        <w:rPr>
          <w:rFonts w:ascii="Times New Roman" w:hAnsi="Times New Roman" w:cs="Times New Roman"/>
          <w:color w:val="000000"/>
          <w:sz w:val="24"/>
        </w:rPr>
        <w:t>bioavailability</w:t>
      </w:r>
      <w:proofErr w:type="spellEnd"/>
      <w:r w:rsidRPr="004604E3">
        <w:rPr>
          <w:rFonts w:ascii="Times New Roman" w:hAnsi="Times New Roman" w:cs="Times New Roman"/>
          <w:color w:val="000000"/>
          <w:sz w:val="24"/>
        </w:rPr>
        <w:t xml:space="preserve"> </w:t>
      </w:r>
      <w:proofErr w:type="spellStart"/>
      <w:r w:rsidRPr="004604E3">
        <w:rPr>
          <w:rFonts w:ascii="Times New Roman" w:hAnsi="Times New Roman" w:cs="Times New Roman"/>
          <w:color w:val="000000"/>
          <w:sz w:val="24"/>
        </w:rPr>
        <w:t>of</w:t>
      </w:r>
      <w:proofErr w:type="spellEnd"/>
      <w:r w:rsidRPr="004604E3">
        <w:rPr>
          <w:rFonts w:ascii="Times New Roman" w:hAnsi="Times New Roman" w:cs="Times New Roman"/>
          <w:color w:val="000000"/>
          <w:sz w:val="24"/>
        </w:rPr>
        <w:t xml:space="preserve"> </w:t>
      </w:r>
      <w:proofErr w:type="spellStart"/>
      <w:r w:rsidRPr="004604E3">
        <w:rPr>
          <w:rFonts w:ascii="Times New Roman" w:hAnsi="Times New Roman" w:cs="Times New Roman"/>
          <w:color w:val="000000"/>
          <w:sz w:val="24"/>
        </w:rPr>
        <w:t>trace</w:t>
      </w:r>
      <w:proofErr w:type="spellEnd"/>
      <w:r w:rsidRPr="004604E3">
        <w:rPr>
          <w:rFonts w:ascii="Times New Roman" w:hAnsi="Times New Roman" w:cs="Times New Roman"/>
          <w:color w:val="000000"/>
          <w:sz w:val="24"/>
        </w:rPr>
        <w:t xml:space="preserve"> </w:t>
      </w:r>
      <w:proofErr w:type="spellStart"/>
      <w:r w:rsidRPr="004604E3">
        <w:rPr>
          <w:rFonts w:ascii="Times New Roman" w:hAnsi="Times New Roman" w:cs="Times New Roman"/>
          <w:color w:val="000000"/>
          <w:sz w:val="24"/>
        </w:rPr>
        <w:t>elements</w:t>
      </w:r>
      <w:proofErr w:type="spellEnd"/>
      <w:r w:rsidRPr="004604E3">
        <w:rPr>
          <w:rFonts w:ascii="Times New Roman" w:hAnsi="Times New Roman" w:cs="Times New Roman"/>
          <w:color w:val="000000"/>
          <w:sz w:val="24"/>
        </w:rPr>
        <w:t xml:space="preserve"> in </w:t>
      </w:r>
      <w:proofErr w:type="spellStart"/>
      <w:r w:rsidRPr="004604E3">
        <w:rPr>
          <w:rFonts w:ascii="Times New Roman" w:hAnsi="Times New Roman" w:cs="Times New Roman"/>
          <w:color w:val="000000"/>
          <w:sz w:val="24"/>
        </w:rPr>
        <w:t>soils</w:t>
      </w:r>
      <w:proofErr w:type="spellEnd"/>
      <w:r w:rsidRPr="004604E3">
        <w:rPr>
          <w:rFonts w:ascii="Times New Roman" w:hAnsi="Times New Roman" w:cs="Times New Roman"/>
          <w:color w:val="000000"/>
          <w:sz w:val="24"/>
        </w:rPr>
        <w:t xml:space="preserve">. In: Ed. by </w:t>
      </w:r>
      <w:proofErr w:type="spellStart"/>
      <w:r w:rsidRPr="004604E3">
        <w:rPr>
          <w:rFonts w:ascii="Times New Roman" w:hAnsi="Times New Roman" w:cs="Times New Roman"/>
          <w:color w:val="000000"/>
          <w:sz w:val="24"/>
        </w:rPr>
        <w:t>Iskandar</w:t>
      </w:r>
      <w:proofErr w:type="spellEnd"/>
      <w:r w:rsidRPr="004604E3">
        <w:rPr>
          <w:rFonts w:ascii="Times New Roman" w:hAnsi="Times New Roman" w:cs="Times New Roman"/>
          <w:color w:val="000000"/>
          <w:sz w:val="24"/>
        </w:rPr>
        <w:t xml:space="preserve">, I. K., </w:t>
      </w:r>
      <w:proofErr w:type="spellStart"/>
      <w:r w:rsidRPr="004604E3">
        <w:rPr>
          <w:rFonts w:ascii="Times New Roman" w:hAnsi="Times New Roman" w:cs="Times New Roman"/>
          <w:color w:val="000000"/>
          <w:sz w:val="24"/>
        </w:rPr>
        <w:t>Kirkham</w:t>
      </w:r>
      <w:proofErr w:type="spellEnd"/>
      <w:r w:rsidRPr="004604E3">
        <w:rPr>
          <w:rFonts w:ascii="Times New Roman" w:hAnsi="Times New Roman" w:cs="Times New Roman"/>
          <w:color w:val="000000"/>
          <w:sz w:val="24"/>
        </w:rPr>
        <w:t xml:space="preserve">, M. B. </w:t>
      </w:r>
      <w:proofErr w:type="spellStart"/>
      <w:r w:rsidRPr="004604E3">
        <w:rPr>
          <w:rFonts w:ascii="Times New Roman" w:hAnsi="Times New Roman" w:cs="Times New Roman"/>
          <w:color w:val="000000"/>
          <w:sz w:val="24"/>
        </w:rPr>
        <w:t>Trace</w:t>
      </w:r>
      <w:proofErr w:type="spellEnd"/>
      <w:r w:rsidRPr="004604E3">
        <w:rPr>
          <w:rFonts w:ascii="Times New Roman" w:hAnsi="Times New Roman" w:cs="Times New Roman"/>
          <w:color w:val="000000"/>
          <w:sz w:val="24"/>
        </w:rPr>
        <w:t xml:space="preserve"> </w:t>
      </w:r>
      <w:proofErr w:type="spellStart"/>
      <w:r w:rsidRPr="004604E3">
        <w:rPr>
          <w:rFonts w:ascii="Times New Roman" w:hAnsi="Times New Roman" w:cs="Times New Roman"/>
          <w:color w:val="000000"/>
          <w:sz w:val="24"/>
        </w:rPr>
        <w:t>Elements</w:t>
      </w:r>
      <w:proofErr w:type="spellEnd"/>
      <w:r w:rsidRPr="004604E3">
        <w:rPr>
          <w:rFonts w:ascii="Times New Roman" w:hAnsi="Times New Roman" w:cs="Times New Roman"/>
          <w:color w:val="000000"/>
          <w:sz w:val="24"/>
        </w:rPr>
        <w:t xml:space="preserve"> in </w:t>
      </w:r>
      <w:proofErr w:type="spellStart"/>
      <w:r w:rsidRPr="004604E3">
        <w:rPr>
          <w:rFonts w:ascii="Times New Roman" w:hAnsi="Times New Roman" w:cs="Times New Roman"/>
          <w:color w:val="000000"/>
          <w:sz w:val="24"/>
        </w:rPr>
        <w:t>Soil</w:t>
      </w:r>
      <w:proofErr w:type="spellEnd"/>
      <w:r w:rsidRPr="004604E3">
        <w:rPr>
          <w:rFonts w:ascii="Times New Roman" w:hAnsi="Times New Roman" w:cs="Times New Roman"/>
          <w:color w:val="000000"/>
          <w:sz w:val="24"/>
        </w:rPr>
        <w:t xml:space="preserve">: </w:t>
      </w:r>
      <w:proofErr w:type="spellStart"/>
      <w:r w:rsidRPr="004604E3">
        <w:rPr>
          <w:rFonts w:ascii="Times New Roman" w:hAnsi="Times New Roman" w:cs="Times New Roman"/>
          <w:color w:val="000000"/>
          <w:sz w:val="24"/>
        </w:rPr>
        <w:t>Bioavailability</w:t>
      </w:r>
      <w:proofErr w:type="spellEnd"/>
      <w:r w:rsidRPr="004604E3">
        <w:rPr>
          <w:rFonts w:ascii="Times New Roman" w:hAnsi="Times New Roman" w:cs="Times New Roman"/>
          <w:color w:val="000000"/>
          <w:sz w:val="24"/>
        </w:rPr>
        <w:t xml:space="preserve">, Flux, and Transfer. </w:t>
      </w:r>
      <w:r w:rsidRPr="004604E3">
        <w:rPr>
          <w:rFonts w:ascii="Times New Roman" w:hAnsi="Times New Roman" w:cs="Times New Roman"/>
          <w:caps/>
          <w:color w:val="000000"/>
          <w:sz w:val="24"/>
        </w:rPr>
        <w:t>Boca Raton</w:t>
      </w:r>
      <w:r w:rsidRPr="004604E3">
        <w:rPr>
          <w:rFonts w:ascii="Times New Roman" w:hAnsi="Times New Roman" w:cs="Times New Roman"/>
          <w:color w:val="000000"/>
          <w:sz w:val="24"/>
        </w:rPr>
        <w:t xml:space="preserve">, London, NY, Washington, DC, USA: CRC </w:t>
      </w:r>
      <w:proofErr w:type="spellStart"/>
      <w:r w:rsidRPr="004604E3">
        <w:rPr>
          <w:rFonts w:ascii="Times New Roman" w:hAnsi="Times New Roman" w:cs="Times New Roman"/>
          <w:color w:val="000000"/>
          <w:sz w:val="24"/>
        </w:rPr>
        <w:t>Press</w:t>
      </w:r>
      <w:proofErr w:type="spellEnd"/>
      <w:r w:rsidRPr="004604E3">
        <w:rPr>
          <w:rFonts w:ascii="Times New Roman" w:hAnsi="Times New Roman" w:cs="Times New Roman"/>
          <w:color w:val="000000"/>
          <w:sz w:val="24"/>
        </w:rPr>
        <w:t xml:space="preserve"> LLC., 2001, s. 21 – 42. ISBN 1-56670-507-X.</w:t>
      </w:r>
    </w:p>
    <w:p w:rsidR="001F59C3" w:rsidRPr="003F04C6" w:rsidRDefault="001F59C3" w:rsidP="001F59C3">
      <w:pPr>
        <w:spacing w:after="120"/>
        <w:rPr>
          <w:rFonts w:ascii="Times New Roman" w:hAnsi="Times New Roman"/>
          <w:sz w:val="24"/>
          <w:szCs w:val="24"/>
          <w:lang w:val="en-GB"/>
        </w:rPr>
      </w:pPr>
      <w:proofErr w:type="spellStart"/>
      <w:r w:rsidRPr="003F04C6">
        <w:rPr>
          <w:rFonts w:ascii="Times New Roman" w:hAnsi="Times New Roman"/>
          <w:sz w:val="24"/>
          <w:szCs w:val="24"/>
          <w:lang w:val="en-GB"/>
        </w:rPr>
        <w:t>Rieuwerts</w:t>
      </w:r>
      <w:proofErr w:type="spellEnd"/>
      <w:r w:rsidRPr="003F04C6">
        <w:rPr>
          <w:rFonts w:ascii="Times New Roman" w:hAnsi="Times New Roman"/>
          <w:sz w:val="24"/>
          <w:szCs w:val="24"/>
          <w:lang w:val="en-GB"/>
        </w:rPr>
        <w:t xml:space="preserve"> J. S., Thornton I., </w:t>
      </w:r>
      <w:proofErr w:type="spellStart"/>
      <w:proofErr w:type="gramStart"/>
      <w:r w:rsidRPr="003F04C6">
        <w:rPr>
          <w:rFonts w:ascii="Times New Roman" w:hAnsi="Times New Roman"/>
          <w:sz w:val="24"/>
          <w:szCs w:val="24"/>
          <w:lang w:val="en-GB"/>
        </w:rPr>
        <w:t>Farago</w:t>
      </w:r>
      <w:proofErr w:type="spellEnd"/>
      <w:proofErr w:type="gramEnd"/>
      <w:r w:rsidRPr="003F04C6">
        <w:rPr>
          <w:rFonts w:ascii="Times New Roman" w:hAnsi="Times New Roman"/>
          <w:sz w:val="24"/>
          <w:szCs w:val="24"/>
          <w:lang w:val="en-GB"/>
        </w:rPr>
        <w:t xml:space="preserve"> M. E., Ashmore M. R. </w:t>
      </w:r>
      <w:r>
        <w:rPr>
          <w:rFonts w:ascii="Times New Roman" w:hAnsi="Times New Roman"/>
          <w:sz w:val="24"/>
          <w:szCs w:val="24"/>
          <w:lang w:val="en-GB"/>
        </w:rPr>
        <w:t>(</w:t>
      </w:r>
      <w:r w:rsidRPr="003F04C6">
        <w:rPr>
          <w:rFonts w:ascii="Times New Roman" w:hAnsi="Times New Roman"/>
          <w:sz w:val="24"/>
          <w:szCs w:val="24"/>
          <w:lang w:val="en-GB"/>
        </w:rPr>
        <w:t>1999</w:t>
      </w:r>
      <w:r>
        <w:rPr>
          <w:rFonts w:ascii="Times New Roman" w:hAnsi="Times New Roman"/>
          <w:sz w:val="24"/>
          <w:szCs w:val="24"/>
          <w:lang w:val="en-GB"/>
        </w:rPr>
        <w:t>)</w:t>
      </w:r>
      <w:r w:rsidRPr="003F04C6">
        <w:rPr>
          <w:rFonts w:ascii="Times New Roman" w:hAnsi="Times New Roman"/>
          <w:sz w:val="24"/>
          <w:szCs w:val="24"/>
          <w:lang w:val="en-GB"/>
        </w:rPr>
        <w:t xml:space="preserve">: Predicting concentrations of Cd, Cu, </w:t>
      </w:r>
      <w:proofErr w:type="spellStart"/>
      <w:r w:rsidRPr="003F04C6">
        <w:rPr>
          <w:rFonts w:ascii="Times New Roman" w:hAnsi="Times New Roman"/>
          <w:sz w:val="24"/>
          <w:szCs w:val="24"/>
          <w:lang w:val="en-GB"/>
        </w:rPr>
        <w:t>Pb</w:t>
      </w:r>
      <w:proofErr w:type="spellEnd"/>
      <w:r w:rsidRPr="003F04C6">
        <w:rPr>
          <w:rFonts w:ascii="Times New Roman" w:hAnsi="Times New Roman"/>
          <w:sz w:val="24"/>
          <w:szCs w:val="24"/>
          <w:lang w:val="en-GB"/>
        </w:rPr>
        <w:t xml:space="preserve"> and Zn in the soluble and exchangeable phases of soils. 5th International Conference on the Biogeochemistry of Trace Elements, 11.-15. July, Vienna, Austria</w:t>
      </w:r>
      <w:proofErr w:type="gramStart"/>
      <w:r w:rsidRPr="003F04C6">
        <w:rPr>
          <w:rFonts w:ascii="Times New Roman" w:hAnsi="Times New Roman"/>
          <w:sz w:val="24"/>
          <w:szCs w:val="24"/>
          <w:lang w:val="en-GB"/>
        </w:rPr>
        <w:t>,  Proceedings</w:t>
      </w:r>
      <w:proofErr w:type="gramEnd"/>
      <w:r w:rsidRPr="003F04C6">
        <w:rPr>
          <w:rFonts w:ascii="Times New Roman" w:hAnsi="Times New Roman"/>
          <w:sz w:val="24"/>
          <w:szCs w:val="24"/>
          <w:lang w:val="en-GB"/>
        </w:rPr>
        <w:t xml:space="preserve"> of extended abstracts, 812-813.</w:t>
      </w:r>
    </w:p>
    <w:p w:rsidR="001F59C3" w:rsidRPr="00244AD0" w:rsidRDefault="001F59C3" w:rsidP="001F59C3">
      <w:pPr>
        <w:spacing w:after="120"/>
        <w:rPr>
          <w:rFonts w:ascii="Times New Roman" w:eastAsia="Times New Roman" w:hAnsi="Times New Roman" w:cs="Times New Roman"/>
          <w:sz w:val="24"/>
          <w:szCs w:val="24"/>
          <w:lang w:val="en-GB" w:eastAsia="cs-CZ"/>
        </w:rPr>
      </w:pPr>
      <w:proofErr w:type="spellStart"/>
      <w:r w:rsidRPr="00244AD0">
        <w:rPr>
          <w:rFonts w:ascii="Times New Roman" w:eastAsia="Times New Roman" w:hAnsi="Times New Roman" w:cs="Times New Roman"/>
          <w:sz w:val="24"/>
          <w:szCs w:val="24"/>
          <w:lang w:val="en-GB" w:eastAsia="cs-CZ"/>
        </w:rPr>
        <w:t>Righi</w:t>
      </w:r>
      <w:proofErr w:type="spellEnd"/>
      <w:r w:rsidRPr="00244AD0">
        <w:rPr>
          <w:rFonts w:ascii="Times New Roman" w:eastAsia="Times New Roman" w:hAnsi="Times New Roman" w:cs="Times New Roman"/>
          <w:sz w:val="24"/>
          <w:szCs w:val="24"/>
          <w:lang w:val="en-GB" w:eastAsia="cs-CZ"/>
        </w:rPr>
        <w:t xml:space="preserve"> D., </w:t>
      </w:r>
      <w:proofErr w:type="spellStart"/>
      <w:r w:rsidRPr="00244AD0">
        <w:rPr>
          <w:rFonts w:ascii="Times New Roman" w:eastAsia="Times New Roman" w:hAnsi="Times New Roman" w:cs="Times New Roman"/>
          <w:sz w:val="24"/>
          <w:szCs w:val="24"/>
          <w:lang w:val="en-GB" w:eastAsia="cs-CZ"/>
        </w:rPr>
        <w:t>Dinel</w:t>
      </w:r>
      <w:proofErr w:type="spellEnd"/>
      <w:r w:rsidRPr="00244AD0">
        <w:rPr>
          <w:rFonts w:ascii="Times New Roman" w:eastAsia="Times New Roman" w:hAnsi="Times New Roman" w:cs="Times New Roman"/>
          <w:sz w:val="24"/>
          <w:szCs w:val="24"/>
          <w:lang w:val="en-GB" w:eastAsia="cs-CZ"/>
        </w:rPr>
        <w:t xml:space="preserve"> H., </w:t>
      </w:r>
      <w:proofErr w:type="spellStart"/>
      <w:r w:rsidRPr="00244AD0">
        <w:rPr>
          <w:rFonts w:ascii="Times New Roman" w:eastAsia="Times New Roman" w:hAnsi="Times New Roman" w:cs="Times New Roman"/>
          <w:sz w:val="24"/>
          <w:szCs w:val="24"/>
          <w:lang w:val="en-GB" w:eastAsia="cs-CZ"/>
        </w:rPr>
        <w:t>Schulten</w:t>
      </w:r>
      <w:proofErr w:type="spellEnd"/>
      <w:r w:rsidRPr="00244AD0">
        <w:rPr>
          <w:rFonts w:ascii="Times New Roman" w:eastAsia="Times New Roman" w:hAnsi="Times New Roman" w:cs="Times New Roman"/>
          <w:sz w:val="24"/>
          <w:szCs w:val="24"/>
          <w:lang w:val="en-GB" w:eastAsia="cs-CZ"/>
        </w:rPr>
        <w:t xml:space="preserve"> H.-R., </w:t>
      </w:r>
      <w:proofErr w:type="spellStart"/>
      <w:r w:rsidRPr="00244AD0">
        <w:rPr>
          <w:rFonts w:ascii="Times New Roman" w:eastAsia="Times New Roman" w:hAnsi="Times New Roman" w:cs="Times New Roman"/>
          <w:sz w:val="24"/>
          <w:szCs w:val="24"/>
          <w:lang w:val="en-GB" w:eastAsia="cs-CZ"/>
        </w:rPr>
        <w:t>Schnitzer</w:t>
      </w:r>
      <w:proofErr w:type="spellEnd"/>
      <w:r w:rsidRPr="00244AD0">
        <w:rPr>
          <w:rFonts w:ascii="Times New Roman" w:eastAsia="Times New Roman" w:hAnsi="Times New Roman" w:cs="Times New Roman"/>
          <w:sz w:val="24"/>
          <w:szCs w:val="24"/>
          <w:lang w:val="en-GB" w:eastAsia="cs-CZ"/>
        </w:rPr>
        <w:t xml:space="preserve"> M. </w:t>
      </w:r>
      <w:r>
        <w:rPr>
          <w:rFonts w:ascii="Times New Roman" w:eastAsia="Times New Roman" w:hAnsi="Times New Roman" w:cs="Times New Roman"/>
          <w:sz w:val="24"/>
          <w:szCs w:val="24"/>
          <w:lang w:val="en-GB" w:eastAsia="cs-CZ"/>
        </w:rPr>
        <w:t>(</w:t>
      </w:r>
      <w:r w:rsidRPr="00244AD0">
        <w:rPr>
          <w:rFonts w:ascii="Times New Roman" w:eastAsia="Times New Roman" w:hAnsi="Times New Roman" w:cs="Times New Roman"/>
          <w:sz w:val="24"/>
          <w:szCs w:val="24"/>
          <w:lang w:val="en-GB" w:eastAsia="cs-CZ"/>
        </w:rPr>
        <w:t>1995</w:t>
      </w:r>
      <w:r>
        <w:rPr>
          <w:rFonts w:ascii="Times New Roman" w:eastAsia="Times New Roman" w:hAnsi="Times New Roman" w:cs="Times New Roman"/>
          <w:sz w:val="24"/>
          <w:szCs w:val="24"/>
          <w:lang w:val="en-GB" w:eastAsia="cs-CZ"/>
        </w:rPr>
        <w:t>)</w:t>
      </w:r>
      <w:r w:rsidRPr="00244AD0">
        <w:rPr>
          <w:rFonts w:ascii="Times New Roman" w:eastAsia="Times New Roman" w:hAnsi="Times New Roman" w:cs="Times New Roman"/>
          <w:sz w:val="24"/>
          <w:szCs w:val="24"/>
          <w:lang w:val="en-GB" w:eastAsia="cs-CZ"/>
        </w:rPr>
        <w:t xml:space="preserve">: Characterization of clay -organic - matter complexes resistant to oxidation by peroxide. European Journal of Soil Science, September 1995, 46, p. 423-429. </w:t>
      </w:r>
    </w:p>
    <w:p w:rsidR="001F59C3" w:rsidRPr="00B94F7E" w:rsidRDefault="001F59C3" w:rsidP="001F59C3">
      <w:pPr>
        <w:spacing w:after="120"/>
        <w:rPr>
          <w:rFonts w:ascii="Times New Roman" w:hAnsi="Times New Roman"/>
          <w:sz w:val="24"/>
          <w:szCs w:val="24"/>
          <w:lang w:val="en-GB"/>
        </w:rPr>
      </w:pPr>
      <w:proofErr w:type="spellStart"/>
      <w:r w:rsidRPr="003F04C6">
        <w:rPr>
          <w:rFonts w:ascii="Times New Roman" w:hAnsi="Times New Roman"/>
          <w:sz w:val="24"/>
          <w:szCs w:val="24"/>
          <w:lang w:val="en-GB"/>
        </w:rPr>
        <w:t>Rimmer</w:t>
      </w:r>
      <w:proofErr w:type="spellEnd"/>
      <w:r w:rsidRPr="003F04C6">
        <w:rPr>
          <w:rFonts w:ascii="Times New Roman" w:hAnsi="Times New Roman"/>
          <w:sz w:val="24"/>
          <w:szCs w:val="24"/>
          <w:lang w:val="en-GB"/>
        </w:rPr>
        <w:t xml:space="preserve"> D. L., Menzies N. W., </w:t>
      </w:r>
      <w:proofErr w:type="spellStart"/>
      <w:r w:rsidRPr="003F04C6">
        <w:rPr>
          <w:rFonts w:ascii="Times New Roman" w:hAnsi="Times New Roman"/>
          <w:sz w:val="24"/>
          <w:szCs w:val="24"/>
          <w:lang w:val="en-GB"/>
        </w:rPr>
        <w:t>Reichman</w:t>
      </w:r>
      <w:proofErr w:type="spellEnd"/>
      <w:r w:rsidRPr="003F04C6">
        <w:rPr>
          <w:rFonts w:ascii="Times New Roman" w:hAnsi="Times New Roman"/>
          <w:sz w:val="24"/>
          <w:szCs w:val="24"/>
          <w:lang w:val="en-GB"/>
        </w:rPr>
        <w:t xml:space="preserve"> S. </w:t>
      </w:r>
      <w:r>
        <w:rPr>
          <w:rFonts w:ascii="Times New Roman" w:hAnsi="Times New Roman"/>
          <w:sz w:val="24"/>
          <w:szCs w:val="24"/>
          <w:lang w:val="en-GB"/>
        </w:rPr>
        <w:t>(</w:t>
      </w:r>
      <w:r w:rsidRPr="003F04C6">
        <w:rPr>
          <w:rFonts w:ascii="Times New Roman" w:hAnsi="Times New Roman"/>
          <w:sz w:val="24"/>
          <w:szCs w:val="24"/>
          <w:lang w:val="en-GB"/>
        </w:rPr>
        <w:t>1999</w:t>
      </w:r>
      <w:r>
        <w:rPr>
          <w:rFonts w:ascii="Times New Roman" w:hAnsi="Times New Roman"/>
          <w:sz w:val="24"/>
          <w:szCs w:val="24"/>
          <w:lang w:val="en-GB"/>
        </w:rPr>
        <w:t>)</w:t>
      </w:r>
      <w:r w:rsidRPr="003F04C6">
        <w:rPr>
          <w:rFonts w:ascii="Times New Roman" w:hAnsi="Times New Roman"/>
          <w:sz w:val="24"/>
          <w:szCs w:val="24"/>
          <w:lang w:val="en-GB"/>
        </w:rPr>
        <w:t xml:space="preserve">: </w:t>
      </w:r>
      <w:proofErr w:type="spellStart"/>
      <w:r w:rsidRPr="003F04C6">
        <w:rPr>
          <w:rFonts w:ascii="Times New Roman" w:hAnsi="Times New Roman"/>
          <w:sz w:val="24"/>
          <w:szCs w:val="24"/>
          <w:lang w:val="en-GB"/>
        </w:rPr>
        <w:t>Bioavaibility</w:t>
      </w:r>
      <w:proofErr w:type="spellEnd"/>
      <w:r w:rsidRPr="003F04C6">
        <w:rPr>
          <w:rFonts w:ascii="Times New Roman" w:hAnsi="Times New Roman"/>
          <w:sz w:val="24"/>
          <w:szCs w:val="24"/>
          <w:lang w:val="en-GB"/>
        </w:rPr>
        <w:t xml:space="preserve"> of Zn, Cu and </w:t>
      </w:r>
      <w:proofErr w:type="spellStart"/>
      <w:r w:rsidRPr="003F04C6">
        <w:rPr>
          <w:rFonts w:ascii="Times New Roman" w:hAnsi="Times New Roman"/>
          <w:sz w:val="24"/>
          <w:szCs w:val="24"/>
          <w:lang w:val="en-GB"/>
        </w:rPr>
        <w:t>Mn</w:t>
      </w:r>
      <w:proofErr w:type="spellEnd"/>
      <w:r w:rsidRPr="003F04C6">
        <w:rPr>
          <w:rFonts w:ascii="Times New Roman" w:hAnsi="Times New Roman"/>
          <w:sz w:val="24"/>
          <w:szCs w:val="24"/>
          <w:lang w:val="en-GB"/>
        </w:rPr>
        <w:t xml:space="preserve"> in contaminated soils and </w:t>
      </w:r>
      <w:proofErr w:type="spellStart"/>
      <w:r w:rsidRPr="003F04C6">
        <w:rPr>
          <w:rFonts w:ascii="Times New Roman" w:hAnsi="Times New Roman"/>
          <w:sz w:val="24"/>
          <w:szCs w:val="24"/>
          <w:lang w:val="en-GB"/>
        </w:rPr>
        <w:t>spetiation</w:t>
      </w:r>
      <w:proofErr w:type="spellEnd"/>
      <w:r w:rsidRPr="003F04C6">
        <w:rPr>
          <w:rFonts w:ascii="Times New Roman" w:hAnsi="Times New Roman"/>
          <w:sz w:val="24"/>
          <w:szCs w:val="24"/>
          <w:lang w:val="en-GB"/>
        </w:rPr>
        <w:t xml:space="preserve"> in soil solution. 5th International Conference on the Biogeochemistry of Trace Elements, 11.-15. July, Vienna, Austria</w:t>
      </w:r>
      <w:proofErr w:type="gramStart"/>
      <w:r w:rsidRPr="003F04C6">
        <w:rPr>
          <w:rFonts w:ascii="Times New Roman" w:hAnsi="Times New Roman"/>
          <w:sz w:val="24"/>
          <w:szCs w:val="24"/>
          <w:lang w:val="en-GB"/>
        </w:rPr>
        <w:t>,  Proceedings</w:t>
      </w:r>
      <w:proofErr w:type="gramEnd"/>
      <w:r w:rsidRPr="003F04C6">
        <w:rPr>
          <w:rFonts w:ascii="Times New Roman" w:hAnsi="Times New Roman"/>
          <w:sz w:val="24"/>
          <w:szCs w:val="24"/>
          <w:lang w:val="en-GB"/>
        </w:rPr>
        <w:t xml:space="preserve"> of extended abstracts, 146-147.</w:t>
      </w:r>
    </w:p>
    <w:p w:rsidR="001F59C3" w:rsidRPr="00936FE2" w:rsidRDefault="001F59C3" w:rsidP="001F59C3">
      <w:pPr>
        <w:pStyle w:val="abstractkt"/>
        <w:spacing w:before="120" w:after="120"/>
        <w:rPr>
          <w:b w:val="0"/>
          <w:bCs w:val="0"/>
          <w:caps w:val="0"/>
          <w:sz w:val="24"/>
          <w:szCs w:val="24"/>
          <w:lang w:val="en-GB"/>
        </w:rPr>
      </w:pPr>
      <w:proofErr w:type="spellStart"/>
      <w:r w:rsidRPr="00936FE2">
        <w:rPr>
          <w:b w:val="0"/>
          <w:bCs w:val="0"/>
          <w:caps w:val="0"/>
          <w:sz w:val="24"/>
          <w:szCs w:val="24"/>
          <w:lang w:val="en-GB"/>
        </w:rPr>
        <w:t>Römkens</w:t>
      </w:r>
      <w:proofErr w:type="spellEnd"/>
      <w:r w:rsidRPr="00936FE2">
        <w:rPr>
          <w:b w:val="0"/>
          <w:bCs w:val="0"/>
          <w:caps w:val="0"/>
          <w:sz w:val="24"/>
          <w:szCs w:val="24"/>
          <w:lang w:val="en-GB"/>
        </w:rPr>
        <w:t xml:space="preserve"> P., </w:t>
      </w:r>
      <w:proofErr w:type="spellStart"/>
      <w:r w:rsidRPr="00936FE2">
        <w:rPr>
          <w:b w:val="0"/>
          <w:bCs w:val="0"/>
          <w:caps w:val="0"/>
          <w:sz w:val="24"/>
          <w:szCs w:val="24"/>
          <w:lang w:val="en-GB"/>
        </w:rPr>
        <w:t>Salomons</w:t>
      </w:r>
      <w:proofErr w:type="spellEnd"/>
      <w:r w:rsidRPr="00936FE2">
        <w:rPr>
          <w:b w:val="0"/>
          <w:bCs w:val="0"/>
          <w:caps w:val="0"/>
          <w:sz w:val="24"/>
          <w:szCs w:val="24"/>
          <w:lang w:val="en-GB"/>
        </w:rPr>
        <w:t xml:space="preserve"> W., </w:t>
      </w:r>
      <w:proofErr w:type="spellStart"/>
      <w:r w:rsidRPr="00936FE2">
        <w:rPr>
          <w:b w:val="0"/>
          <w:bCs w:val="0"/>
          <w:caps w:val="0"/>
          <w:sz w:val="24"/>
          <w:szCs w:val="24"/>
          <w:lang w:val="en-GB"/>
        </w:rPr>
        <w:t>Knoop</w:t>
      </w:r>
      <w:proofErr w:type="spellEnd"/>
      <w:r w:rsidRPr="00936FE2">
        <w:rPr>
          <w:b w:val="0"/>
          <w:bCs w:val="0"/>
          <w:caps w:val="0"/>
          <w:sz w:val="24"/>
          <w:szCs w:val="24"/>
          <w:lang w:val="en-GB"/>
        </w:rPr>
        <w:t xml:space="preserve"> J. </w:t>
      </w:r>
      <w:r>
        <w:rPr>
          <w:b w:val="0"/>
          <w:bCs w:val="0"/>
          <w:caps w:val="0"/>
          <w:sz w:val="24"/>
          <w:szCs w:val="24"/>
          <w:lang w:val="en-GB"/>
        </w:rPr>
        <w:t>(</w:t>
      </w:r>
      <w:r w:rsidRPr="00936FE2">
        <w:rPr>
          <w:b w:val="0"/>
          <w:bCs w:val="0"/>
          <w:caps w:val="0"/>
          <w:sz w:val="24"/>
          <w:szCs w:val="24"/>
          <w:lang w:val="en-GB"/>
        </w:rPr>
        <w:t>1992</w:t>
      </w:r>
      <w:r>
        <w:rPr>
          <w:b w:val="0"/>
          <w:bCs w:val="0"/>
          <w:caps w:val="0"/>
          <w:sz w:val="24"/>
          <w:szCs w:val="24"/>
          <w:lang w:val="en-GB"/>
        </w:rPr>
        <w:t>)</w:t>
      </w:r>
      <w:r w:rsidRPr="00936FE2">
        <w:rPr>
          <w:b w:val="0"/>
          <w:bCs w:val="0"/>
          <w:caps w:val="0"/>
          <w:sz w:val="24"/>
          <w:szCs w:val="24"/>
          <w:lang w:val="en-GB"/>
        </w:rPr>
        <w:t xml:space="preserve">: Trace metals in the </w:t>
      </w:r>
      <w:proofErr w:type="spellStart"/>
      <w:r w:rsidRPr="00936FE2">
        <w:rPr>
          <w:b w:val="0"/>
          <w:bCs w:val="0"/>
          <w:caps w:val="0"/>
          <w:sz w:val="24"/>
          <w:szCs w:val="24"/>
          <w:lang w:val="en-GB"/>
        </w:rPr>
        <w:t>enviroment</w:t>
      </w:r>
      <w:proofErr w:type="spellEnd"/>
      <w:r w:rsidRPr="00936FE2">
        <w:rPr>
          <w:b w:val="0"/>
          <w:bCs w:val="0"/>
          <w:caps w:val="0"/>
          <w:sz w:val="24"/>
          <w:szCs w:val="24"/>
          <w:lang w:val="en-GB"/>
        </w:rPr>
        <w:t xml:space="preserve">: </w:t>
      </w:r>
      <w:proofErr w:type="spellStart"/>
      <w:r w:rsidRPr="00936FE2">
        <w:rPr>
          <w:b w:val="0"/>
          <w:bCs w:val="0"/>
          <w:caps w:val="0"/>
          <w:sz w:val="24"/>
          <w:szCs w:val="24"/>
          <w:lang w:val="en-GB"/>
        </w:rPr>
        <w:t>behavior</w:t>
      </w:r>
      <w:proofErr w:type="spellEnd"/>
      <w:r w:rsidRPr="00936FE2">
        <w:rPr>
          <w:b w:val="0"/>
          <w:bCs w:val="0"/>
          <w:caps w:val="0"/>
          <w:sz w:val="24"/>
          <w:szCs w:val="24"/>
          <w:lang w:val="en-GB"/>
        </w:rPr>
        <w:t xml:space="preserve">, </w:t>
      </w:r>
      <w:proofErr w:type="spellStart"/>
      <w:r w:rsidRPr="00936FE2">
        <w:rPr>
          <w:b w:val="0"/>
          <w:bCs w:val="0"/>
          <w:caps w:val="0"/>
          <w:sz w:val="24"/>
          <w:szCs w:val="24"/>
          <w:lang w:val="en-GB"/>
        </w:rPr>
        <w:t>enviromental</w:t>
      </w:r>
      <w:proofErr w:type="spellEnd"/>
      <w:r w:rsidRPr="00936FE2">
        <w:rPr>
          <w:b w:val="0"/>
          <w:bCs w:val="0"/>
          <w:caps w:val="0"/>
          <w:sz w:val="24"/>
          <w:szCs w:val="24"/>
          <w:lang w:val="en-GB"/>
        </w:rPr>
        <w:t xml:space="preserve"> changes and </w:t>
      </w:r>
      <w:proofErr w:type="spellStart"/>
      <w:r w:rsidRPr="00936FE2">
        <w:rPr>
          <w:b w:val="0"/>
          <w:bCs w:val="0"/>
          <w:caps w:val="0"/>
          <w:sz w:val="24"/>
          <w:szCs w:val="24"/>
          <w:lang w:val="en-GB"/>
        </w:rPr>
        <w:t>modeling</w:t>
      </w:r>
      <w:proofErr w:type="spellEnd"/>
      <w:r w:rsidRPr="00936FE2">
        <w:rPr>
          <w:b w:val="0"/>
          <w:bCs w:val="0"/>
          <w:caps w:val="0"/>
          <w:sz w:val="24"/>
          <w:szCs w:val="24"/>
          <w:lang w:val="en-GB"/>
        </w:rPr>
        <w:t>, 1992, the Netherlands, 90 p.</w:t>
      </w:r>
    </w:p>
    <w:p w:rsidR="001F59C3" w:rsidRPr="001F59C3" w:rsidRDefault="001F59C3" w:rsidP="001F59C3">
      <w:pPr>
        <w:pStyle w:val="abstractkt"/>
        <w:spacing w:before="120" w:after="120"/>
        <w:rPr>
          <w:b w:val="0"/>
          <w:bCs w:val="0"/>
          <w:caps w:val="0"/>
          <w:sz w:val="24"/>
          <w:szCs w:val="24"/>
          <w:lang w:val="en-US"/>
        </w:rPr>
      </w:pPr>
      <w:r w:rsidRPr="002F5AA4">
        <w:rPr>
          <w:b w:val="0"/>
          <w:bCs w:val="0"/>
          <w:caps w:val="0"/>
          <w:sz w:val="24"/>
          <w:szCs w:val="24"/>
          <w:lang w:val="de-DE"/>
        </w:rPr>
        <w:t xml:space="preserve">Sauerbeck D., Lübben S. </w:t>
      </w:r>
      <w:r>
        <w:rPr>
          <w:b w:val="0"/>
          <w:bCs w:val="0"/>
          <w:caps w:val="0"/>
          <w:sz w:val="24"/>
          <w:szCs w:val="24"/>
          <w:lang w:val="de-DE"/>
        </w:rPr>
        <w:t>(</w:t>
      </w:r>
      <w:r w:rsidRPr="002F5AA4">
        <w:rPr>
          <w:b w:val="0"/>
          <w:bCs w:val="0"/>
          <w:caps w:val="0"/>
          <w:sz w:val="24"/>
          <w:szCs w:val="24"/>
          <w:lang w:val="de-DE"/>
        </w:rPr>
        <w:t>1991</w:t>
      </w:r>
      <w:r>
        <w:rPr>
          <w:b w:val="0"/>
          <w:bCs w:val="0"/>
          <w:caps w:val="0"/>
          <w:sz w:val="24"/>
          <w:szCs w:val="24"/>
          <w:lang w:val="de-DE"/>
        </w:rPr>
        <w:t>)</w:t>
      </w:r>
      <w:r w:rsidRPr="002F5AA4">
        <w:rPr>
          <w:b w:val="0"/>
          <w:bCs w:val="0"/>
          <w:caps w:val="0"/>
          <w:sz w:val="24"/>
          <w:szCs w:val="24"/>
          <w:lang w:val="de-DE"/>
        </w:rPr>
        <w:t xml:space="preserve">: Auswirkungen von Siedlungsabfällen auf Böden, Bodenorganismen und Pflanzen. </w:t>
      </w:r>
      <w:proofErr w:type="spellStart"/>
      <w:r w:rsidRPr="001F59C3">
        <w:rPr>
          <w:b w:val="0"/>
          <w:bCs w:val="0"/>
          <w:caps w:val="0"/>
          <w:sz w:val="24"/>
          <w:szCs w:val="24"/>
          <w:lang w:val="en-US"/>
        </w:rPr>
        <w:t>Forschungszentrum</w:t>
      </w:r>
      <w:proofErr w:type="spellEnd"/>
      <w:r w:rsidRPr="001F59C3">
        <w:rPr>
          <w:b w:val="0"/>
          <w:bCs w:val="0"/>
          <w:caps w:val="0"/>
          <w:sz w:val="24"/>
          <w:szCs w:val="24"/>
          <w:lang w:val="en-US"/>
        </w:rPr>
        <w:t xml:space="preserve"> </w:t>
      </w:r>
      <w:proofErr w:type="spellStart"/>
      <w:r w:rsidRPr="001F59C3">
        <w:rPr>
          <w:b w:val="0"/>
          <w:bCs w:val="0"/>
          <w:caps w:val="0"/>
          <w:sz w:val="24"/>
          <w:szCs w:val="24"/>
          <w:lang w:val="en-US"/>
        </w:rPr>
        <w:t>Jülich</w:t>
      </w:r>
      <w:proofErr w:type="spellEnd"/>
      <w:r w:rsidRPr="001F59C3">
        <w:rPr>
          <w:b w:val="0"/>
          <w:bCs w:val="0"/>
          <w:caps w:val="0"/>
          <w:sz w:val="24"/>
          <w:szCs w:val="24"/>
          <w:lang w:val="en-US"/>
        </w:rPr>
        <w:t xml:space="preserve"> GmbH, 1991, 416 s.</w:t>
      </w:r>
    </w:p>
    <w:p w:rsidR="001F59C3" w:rsidRPr="00936FE2" w:rsidRDefault="001F59C3" w:rsidP="001F59C3">
      <w:pPr>
        <w:pStyle w:val="abstractkt"/>
        <w:spacing w:before="120" w:after="120"/>
        <w:rPr>
          <w:b w:val="0"/>
          <w:bCs w:val="0"/>
          <w:caps w:val="0"/>
          <w:sz w:val="24"/>
          <w:szCs w:val="24"/>
          <w:lang w:val="en-GB"/>
        </w:rPr>
      </w:pPr>
      <w:r w:rsidRPr="00936FE2">
        <w:rPr>
          <w:b w:val="0"/>
          <w:bCs w:val="0"/>
          <w:caps w:val="0"/>
          <w:sz w:val="24"/>
          <w:szCs w:val="24"/>
          <w:lang w:val="en-GB"/>
        </w:rPr>
        <w:t xml:space="preserve">Sauvé S. </w:t>
      </w:r>
      <w:r>
        <w:rPr>
          <w:b w:val="0"/>
          <w:bCs w:val="0"/>
          <w:caps w:val="0"/>
          <w:sz w:val="24"/>
          <w:szCs w:val="24"/>
          <w:lang w:val="en-GB"/>
        </w:rPr>
        <w:t>(</w:t>
      </w:r>
      <w:r w:rsidRPr="00936FE2">
        <w:rPr>
          <w:b w:val="0"/>
          <w:bCs w:val="0"/>
          <w:caps w:val="0"/>
          <w:sz w:val="24"/>
          <w:szCs w:val="24"/>
          <w:lang w:val="en-GB"/>
        </w:rPr>
        <w:t>1999</w:t>
      </w:r>
      <w:r>
        <w:rPr>
          <w:b w:val="0"/>
          <w:bCs w:val="0"/>
          <w:caps w:val="0"/>
          <w:sz w:val="24"/>
          <w:szCs w:val="24"/>
          <w:lang w:val="en-GB"/>
        </w:rPr>
        <w:t>)</w:t>
      </w:r>
      <w:r w:rsidRPr="00936FE2">
        <w:rPr>
          <w:b w:val="0"/>
          <w:bCs w:val="0"/>
          <w:caps w:val="0"/>
          <w:sz w:val="24"/>
          <w:szCs w:val="24"/>
          <w:lang w:val="en-GB"/>
        </w:rPr>
        <w:t xml:space="preserve">: </w:t>
      </w:r>
      <w:proofErr w:type="spellStart"/>
      <w:r w:rsidRPr="00936FE2">
        <w:rPr>
          <w:b w:val="0"/>
          <w:bCs w:val="0"/>
          <w:caps w:val="0"/>
          <w:sz w:val="24"/>
          <w:szCs w:val="24"/>
          <w:lang w:val="en-GB"/>
        </w:rPr>
        <w:t>Spetiation</w:t>
      </w:r>
      <w:proofErr w:type="spellEnd"/>
      <w:r w:rsidRPr="00936FE2">
        <w:rPr>
          <w:b w:val="0"/>
          <w:bCs w:val="0"/>
          <w:caps w:val="0"/>
          <w:sz w:val="24"/>
          <w:szCs w:val="24"/>
          <w:lang w:val="en-GB"/>
        </w:rPr>
        <w:t xml:space="preserve"> and complexation of cadmium in soil solutions. 5th International Conference on the Biogeochemistry of Trace Elements, 11.-15. July, Vienna, Austria</w:t>
      </w:r>
      <w:proofErr w:type="gramStart"/>
      <w:r w:rsidRPr="00936FE2">
        <w:rPr>
          <w:b w:val="0"/>
          <w:bCs w:val="0"/>
          <w:caps w:val="0"/>
          <w:sz w:val="24"/>
          <w:szCs w:val="24"/>
          <w:lang w:val="en-GB"/>
        </w:rPr>
        <w:t>,  Proceedings</w:t>
      </w:r>
      <w:proofErr w:type="gramEnd"/>
      <w:r w:rsidRPr="00936FE2">
        <w:rPr>
          <w:b w:val="0"/>
          <w:bCs w:val="0"/>
          <w:caps w:val="0"/>
          <w:sz w:val="24"/>
          <w:szCs w:val="24"/>
          <w:lang w:val="en-GB"/>
        </w:rPr>
        <w:t xml:space="preserve"> of extended abstracts, p. 1098-1099.</w:t>
      </w:r>
    </w:p>
    <w:p w:rsidR="001F59C3" w:rsidRPr="00B94F7E" w:rsidRDefault="001F59C3" w:rsidP="001F59C3">
      <w:pPr>
        <w:rPr>
          <w:rFonts w:ascii="Times New Roman" w:hAnsi="Times New Roman" w:cs="Times New Roman"/>
          <w:sz w:val="24"/>
          <w:szCs w:val="24"/>
        </w:rPr>
      </w:pPr>
      <w:r>
        <w:rPr>
          <w:rFonts w:ascii="Times New Roman" w:hAnsi="Times New Roman" w:cs="Times New Roman"/>
          <w:sz w:val="24"/>
          <w:szCs w:val="24"/>
        </w:rPr>
        <w:t>Sáňka</w:t>
      </w:r>
      <w:r w:rsidRPr="00AB511B">
        <w:rPr>
          <w:rFonts w:ascii="Times New Roman" w:hAnsi="Times New Roman" w:cs="Times New Roman"/>
          <w:sz w:val="24"/>
          <w:szCs w:val="24"/>
        </w:rPr>
        <w:t xml:space="preserve"> M., N</w:t>
      </w:r>
      <w:r>
        <w:rPr>
          <w:rFonts w:ascii="Times New Roman" w:hAnsi="Times New Roman" w:cs="Times New Roman"/>
          <w:sz w:val="24"/>
          <w:szCs w:val="24"/>
        </w:rPr>
        <w:t>ěmeček</w:t>
      </w:r>
      <w:r w:rsidRPr="00AB511B">
        <w:rPr>
          <w:rFonts w:ascii="Times New Roman" w:hAnsi="Times New Roman" w:cs="Times New Roman"/>
          <w:sz w:val="24"/>
          <w:szCs w:val="24"/>
        </w:rPr>
        <w:t xml:space="preserve"> J., P</w:t>
      </w:r>
      <w:r>
        <w:rPr>
          <w:rFonts w:ascii="Times New Roman" w:hAnsi="Times New Roman" w:cs="Times New Roman"/>
          <w:sz w:val="24"/>
          <w:szCs w:val="24"/>
        </w:rPr>
        <w:t>odlešáková</w:t>
      </w:r>
      <w:r w:rsidRPr="00AB511B">
        <w:rPr>
          <w:rFonts w:ascii="Times New Roman" w:hAnsi="Times New Roman" w:cs="Times New Roman"/>
          <w:sz w:val="24"/>
          <w:szCs w:val="24"/>
        </w:rPr>
        <w:t xml:space="preserve"> E., V</w:t>
      </w:r>
      <w:r>
        <w:rPr>
          <w:rFonts w:ascii="Times New Roman" w:hAnsi="Times New Roman" w:cs="Times New Roman"/>
          <w:sz w:val="24"/>
          <w:szCs w:val="24"/>
        </w:rPr>
        <w:t>ácha</w:t>
      </w:r>
      <w:r w:rsidRPr="00AB511B">
        <w:rPr>
          <w:rFonts w:ascii="Times New Roman" w:hAnsi="Times New Roman" w:cs="Times New Roman"/>
          <w:sz w:val="24"/>
          <w:szCs w:val="24"/>
        </w:rPr>
        <w:t xml:space="preserve"> R., B</w:t>
      </w:r>
      <w:r>
        <w:rPr>
          <w:rFonts w:ascii="Times New Roman" w:hAnsi="Times New Roman" w:cs="Times New Roman"/>
          <w:sz w:val="24"/>
          <w:szCs w:val="24"/>
        </w:rPr>
        <w:t>eneš</w:t>
      </w:r>
      <w:r w:rsidRPr="00AB511B">
        <w:rPr>
          <w:rFonts w:ascii="Times New Roman" w:hAnsi="Times New Roman" w:cs="Times New Roman"/>
          <w:sz w:val="24"/>
          <w:szCs w:val="24"/>
        </w:rPr>
        <w:t xml:space="preserve"> S. (2002): </w:t>
      </w:r>
      <w:r>
        <w:rPr>
          <w:rFonts w:ascii="Times New Roman" w:hAnsi="Times New Roman" w:cs="Times New Roman"/>
          <w:sz w:val="24"/>
          <w:szCs w:val="24"/>
        </w:rPr>
        <w:t>Vypracování limitních hodnot koncentrací rizikových prvků a perzistentních organických polutantů v půdě a jejich příjmu rostlinami z pohledu kvalitativní a kvantitativní ochrany rostlinné produkce.</w:t>
      </w:r>
      <w:r w:rsidRPr="00AB511B">
        <w:rPr>
          <w:rFonts w:ascii="Times New Roman" w:hAnsi="Times New Roman" w:cs="Times New Roman"/>
          <w:sz w:val="24"/>
          <w:szCs w:val="24"/>
        </w:rPr>
        <w:t xml:space="preserve"> </w:t>
      </w:r>
      <w:r>
        <w:rPr>
          <w:rFonts w:ascii="Times New Roman" w:hAnsi="Times New Roman" w:cs="Times New Roman"/>
          <w:sz w:val="24"/>
          <w:szCs w:val="24"/>
        </w:rPr>
        <w:t>Zpráva pro Ministerstvo životního prostředí</w:t>
      </w:r>
      <w:r w:rsidRPr="00AB511B">
        <w:rPr>
          <w:rFonts w:ascii="Times New Roman" w:hAnsi="Times New Roman" w:cs="Times New Roman"/>
          <w:sz w:val="24"/>
          <w:szCs w:val="24"/>
        </w:rPr>
        <w:t>, Praha.</w:t>
      </w:r>
    </w:p>
    <w:p w:rsidR="001F59C3" w:rsidRPr="00244AD0" w:rsidRDefault="001F59C3" w:rsidP="001F59C3">
      <w:pPr>
        <w:spacing w:after="120"/>
        <w:rPr>
          <w:rFonts w:ascii="Times New Roman" w:eastAsia="Times New Roman" w:hAnsi="Times New Roman" w:cs="Times New Roman"/>
          <w:sz w:val="24"/>
          <w:szCs w:val="24"/>
          <w:lang w:val="en-GB" w:eastAsia="cs-CZ"/>
        </w:rPr>
      </w:pPr>
      <w:proofErr w:type="spellStart"/>
      <w:r w:rsidRPr="00244AD0">
        <w:rPr>
          <w:rFonts w:ascii="Times New Roman" w:eastAsia="Times New Roman" w:hAnsi="Times New Roman" w:cs="Times New Roman"/>
          <w:sz w:val="24"/>
          <w:szCs w:val="24"/>
          <w:lang w:val="en-GB" w:eastAsia="cs-CZ"/>
        </w:rPr>
        <w:t>Schulthess</w:t>
      </w:r>
      <w:proofErr w:type="spellEnd"/>
      <w:r w:rsidRPr="00244AD0">
        <w:rPr>
          <w:rFonts w:ascii="Times New Roman" w:eastAsia="Times New Roman" w:hAnsi="Times New Roman" w:cs="Times New Roman"/>
          <w:sz w:val="24"/>
          <w:szCs w:val="24"/>
          <w:lang w:val="en-GB" w:eastAsia="cs-CZ"/>
        </w:rPr>
        <w:t xml:space="preserve"> C. P., Huang C. P. </w:t>
      </w:r>
      <w:r>
        <w:rPr>
          <w:rFonts w:ascii="Times New Roman" w:eastAsia="Times New Roman" w:hAnsi="Times New Roman" w:cs="Times New Roman"/>
          <w:sz w:val="24"/>
          <w:szCs w:val="24"/>
          <w:lang w:val="en-GB" w:eastAsia="cs-CZ"/>
        </w:rPr>
        <w:t>(</w:t>
      </w:r>
      <w:r w:rsidRPr="00244AD0">
        <w:rPr>
          <w:rFonts w:ascii="Times New Roman" w:eastAsia="Times New Roman" w:hAnsi="Times New Roman" w:cs="Times New Roman"/>
          <w:sz w:val="24"/>
          <w:szCs w:val="24"/>
          <w:lang w:val="en-GB" w:eastAsia="cs-CZ"/>
        </w:rPr>
        <w:t>1990</w:t>
      </w:r>
      <w:r>
        <w:rPr>
          <w:rFonts w:ascii="Times New Roman" w:eastAsia="Times New Roman" w:hAnsi="Times New Roman" w:cs="Times New Roman"/>
          <w:sz w:val="24"/>
          <w:szCs w:val="24"/>
          <w:lang w:val="en-GB" w:eastAsia="cs-CZ"/>
        </w:rPr>
        <w:t>)</w:t>
      </w:r>
      <w:r w:rsidRPr="00244AD0">
        <w:rPr>
          <w:rFonts w:ascii="Times New Roman" w:eastAsia="Times New Roman" w:hAnsi="Times New Roman" w:cs="Times New Roman"/>
          <w:sz w:val="24"/>
          <w:szCs w:val="24"/>
          <w:lang w:val="en-GB" w:eastAsia="cs-CZ"/>
        </w:rPr>
        <w:t>: Adsorption by heavy metals by silicon and aluminium oxide surfaces on clay minerals. Soil Science, 1990 (3), p. 679-688.</w:t>
      </w:r>
    </w:p>
    <w:p w:rsidR="001F59C3" w:rsidRPr="00C73332" w:rsidRDefault="001F59C3" w:rsidP="001F59C3">
      <w:pPr>
        <w:spacing w:after="120"/>
        <w:rPr>
          <w:rFonts w:ascii="Times New Roman" w:eastAsia="Times New Roman" w:hAnsi="Times New Roman" w:cs="Times New Roman"/>
          <w:sz w:val="24"/>
          <w:szCs w:val="24"/>
          <w:lang w:val="en-GB" w:eastAsia="cs-CZ"/>
        </w:rPr>
      </w:pPr>
      <w:r w:rsidRPr="00C73332">
        <w:rPr>
          <w:rFonts w:ascii="Times New Roman" w:eastAsia="Times New Roman" w:hAnsi="Times New Roman" w:cs="Times New Roman"/>
          <w:sz w:val="24"/>
          <w:szCs w:val="24"/>
          <w:lang w:val="en-GB" w:eastAsia="cs-CZ"/>
        </w:rPr>
        <w:t xml:space="preserve">Singer P. C. </w:t>
      </w:r>
      <w:r>
        <w:rPr>
          <w:rFonts w:ascii="Times New Roman" w:eastAsia="Times New Roman" w:hAnsi="Times New Roman" w:cs="Times New Roman"/>
          <w:sz w:val="24"/>
          <w:szCs w:val="24"/>
          <w:lang w:val="en-GB" w:eastAsia="cs-CZ"/>
        </w:rPr>
        <w:t>(</w:t>
      </w:r>
      <w:r w:rsidRPr="00C73332">
        <w:rPr>
          <w:rFonts w:ascii="Times New Roman" w:eastAsia="Times New Roman" w:hAnsi="Times New Roman" w:cs="Times New Roman"/>
          <w:sz w:val="24"/>
          <w:szCs w:val="24"/>
          <w:lang w:val="en-GB" w:eastAsia="cs-CZ"/>
        </w:rPr>
        <w:t>1977</w:t>
      </w:r>
      <w:r>
        <w:rPr>
          <w:rFonts w:ascii="Times New Roman" w:eastAsia="Times New Roman" w:hAnsi="Times New Roman" w:cs="Times New Roman"/>
          <w:sz w:val="24"/>
          <w:szCs w:val="24"/>
          <w:lang w:val="en-GB" w:eastAsia="cs-CZ"/>
        </w:rPr>
        <w:t>)</w:t>
      </w:r>
      <w:r w:rsidRPr="00C73332">
        <w:rPr>
          <w:rFonts w:ascii="Times New Roman" w:eastAsia="Times New Roman" w:hAnsi="Times New Roman" w:cs="Times New Roman"/>
          <w:sz w:val="24"/>
          <w:szCs w:val="24"/>
          <w:lang w:val="en-GB" w:eastAsia="cs-CZ"/>
        </w:rPr>
        <w:t xml:space="preserve">: Influence of </w:t>
      </w:r>
      <w:proofErr w:type="spellStart"/>
      <w:r w:rsidRPr="00C73332">
        <w:rPr>
          <w:rFonts w:ascii="Times New Roman" w:eastAsia="Times New Roman" w:hAnsi="Times New Roman" w:cs="Times New Roman"/>
          <w:sz w:val="24"/>
          <w:szCs w:val="24"/>
          <w:lang w:val="en-GB" w:eastAsia="cs-CZ"/>
        </w:rPr>
        <w:t>dissovled</w:t>
      </w:r>
      <w:proofErr w:type="spellEnd"/>
      <w:r w:rsidRPr="00C73332">
        <w:rPr>
          <w:rFonts w:ascii="Times New Roman" w:eastAsia="Times New Roman" w:hAnsi="Times New Roman" w:cs="Times New Roman"/>
          <w:sz w:val="24"/>
          <w:szCs w:val="24"/>
          <w:lang w:val="en-GB" w:eastAsia="cs-CZ"/>
        </w:rPr>
        <w:t xml:space="preserve"> organics on the distribution, transport and fate of heavy metals in aquatic </w:t>
      </w:r>
      <w:proofErr w:type="spellStart"/>
      <w:r w:rsidRPr="00C73332">
        <w:rPr>
          <w:rFonts w:ascii="Times New Roman" w:eastAsia="Times New Roman" w:hAnsi="Times New Roman" w:cs="Times New Roman"/>
          <w:sz w:val="24"/>
          <w:szCs w:val="24"/>
          <w:lang w:val="en-GB" w:eastAsia="cs-CZ"/>
        </w:rPr>
        <w:t>systém</w:t>
      </w:r>
      <w:proofErr w:type="spellEnd"/>
      <w:r w:rsidRPr="00C73332">
        <w:rPr>
          <w:rFonts w:ascii="Times New Roman" w:eastAsia="Times New Roman" w:hAnsi="Times New Roman" w:cs="Times New Roman"/>
          <w:sz w:val="24"/>
          <w:szCs w:val="24"/>
          <w:lang w:val="en-GB" w:eastAsia="cs-CZ"/>
        </w:rPr>
        <w:t xml:space="preserve">. In: </w:t>
      </w:r>
      <w:proofErr w:type="spellStart"/>
      <w:r w:rsidRPr="00C73332">
        <w:rPr>
          <w:rFonts w:ascii="Times New Roman" w:eastAsia="Times New Roman" w:hAnsi="Times New Roman" w:cs="Times New Roman"/>
          <w:sz w:val="24"/>
          <w:szCs w:val="24"/>
          <w:lang w:val="en-GB" w:eastAsia="cs-CZ"/>
        </w:rPr>
        <w:t>Suffet</w:t>
      </w:r>
      <w:proofErr w:type="spellEnd"/>
      <w:r w:rsidRPr="00C73332">
        <w:rPr>
          <w:rFonts w:ascii="Times New Roman" w:eastAsia="Times New Roman" w:hAnsi="Times New Roman" w:cs="Times New Roman"/>
          <w:sz w:val="24"/>
          <w:szCs w:val="24"/>
          <w:lang w:val="en-GB" w:eastAsia="cs-CZ"/>
        </w:rPr>
        <w:t>, I. H. (</w:t>
      </w:r>
      <w:proofErr w:type="spellStart"/>
      <w:proofErr w:type="gramStart"/>
      <w:r w:rsidRPr="00C73332">
        <w:rPr>
          <w:rFonts w:ascii="Times New Roman" w:eastAsia="Times New Roman" w:hAnsi="Times New Roman" w:cs="Times New Roman"/>
          <w:sz w:val="24"/>
          <w:szCs w:val="24"/>
          <w:lang w:val="en-GB" w:eastAsia="cs-CZ"/>
        </w:rPr>
        <w:t>ed</w:t>
      </w:r>
      <w:proofErr w:type="spellEnd"/>
      <w:proofErr w:type="gramEnd"/>
      <w:r w:rsidRPr="00C73332">
        <w:rPr>
          <w:rFonts w:ascii="Times New Roman" w:eastAsia="Times New Roman" w:hAnsi="Times New Roman" w:cs="Times New Roman"/>
          <w:sz w:val="24"/>
          <w:szCs w:val="24"/>
          <w:lang w:val="en-GB" w:eastAsia="cs-CZ"/>
        </w:rPr>
        <w:t xml:space="preserve">): Fate of pollutants in the air and </w:t>
      </w:r>
      <w:proofErr w:type="spellStart"/>
      <w:r w:rsidRPr="00C73332">
        <w:rPr>
          <w:rFonts w:ascii="Times New Roman" w:eastAsia="Times New Roman" w:hAnsi="Times New Roman" w:cs="Times New Roman"/>
          <w:sz w:val="24"/>
          <w:szCs w:val="24"/>
          <w:lang w:val="en-GB" w:eastAsia="cs-CZ"/>
        </w:rPr>
        <w:t>watter</w:t>
      </w:r>
      <w:proofErr w:type="spellEnd"/>
      <w:r w:rsidRPr="00C73332">
        <w:rPr>
          <w:rFonts w:ascii="Times New Roman" w:eastAsia="Times New Roman" w:hAnsi="Times New Roman" w:cs="Times New Roman"/>
          <w:sz w:val="24"/>
          <w:szCs w:val="24"/>
          <w:lang w:val="en-GB" w:eastAsia="cs-CZ"/>
        </w:rPr>
        <w:t xml:space="preserve"> </w:t>
      </w:r>
      <w:proofErr w:type="spellStart"/>
      <w:r w:rsidRPr="00C73332">
        <w:rPr>
          <w:rFonts w:ascii="Times New Roman" w:eastAsia="Times New Roman" w:hAnsi="Times New Roman" w:cs="Times New Roman"/>
          <w:sz w:val="24"/>
          <w:szCs w:val="24"/>
          <w:lang w:val="en-GB" w:eastAsia="cs-CZ"/>
        </w:rPr>
        <w:t>envi</w:t>
      </w:r>
      <w:r>
        <w:rPr>
          <w:rFonts w:ascii="Times New Roman" w:eastAsia="Times New Roman" w:hAnsi="Times New Roman" w:cs="Times New Roman"/>
          <w:sz w:val="24"/>
          <w:szCs w:val="24"/>
          <w:lang w:val="en-GB" w:eastAsia="cs-CZ"/>
        </w:rPr>
        <w:t>roment</w:t>
      </w:r>
      <w:proofErr w:type="spellEnd"/>
      <w:r>
        <w:rPr>
          <w:rFonts w:ascii="Times New Roman" w:eastAsia="Times New Roman" w:hAnsi="Times New Roman" w:cs="Times New Roman"/>
          <w:sz w:val="24"/>
          <w:szCs w:val="24"/>
          <w:lang w:val="en-GB" w:eastAsia="cs-CZ"/>
        </w:rPr>
        <w:t>, Part I. Wiley, N. Y.,</w:t>
      </w:r>
      <w:r w:rsidRPr="00C73332">
        <w:rPr>
          <w:rFonts w:ascii="Times New Roman" w:eastAsia="Times New Roman" w:hAnsi="Times New Roman" w:cs="Times New Roman"/>
          <w:sz w:val="24"/>
          <w:szCs w:val="24"/>
          <w:lang w:val="en-GB" w:eastAsia="cs-CZ"/>
        </w:rPr>
        <w:t xml:space="preserve"> 155-182. </w:t>
      </w:r>
    </w:p>
    <w:p w:rsidR="001F59C3" w:rsidRPr="00B94F7E" w:rsidRDefault="001F59C3" w:rsidP="001F59C3">
      <w:pPr>
        <w:spacing w:after="120"/>
        <w:rPr>
          <w:rFonts w:ascii="Times New Roman" w:eastAsia="Times New Roman" w:hAnsi="Times New Roman" w:cs="Times New Roman"/>
          <w:sz w:val="24"/>
          <w:szCs w:val="24"/>
          <w:lang w:val="en-GB" w:eastAsia="cs-CZ"/>
        </w:rPr>
      </w:pPr>
      <w:proofErr w:type="spellStart"/>
      <w:r w:rsidRPr="00DD346F">
        <w:rPr>
          <w:rFonts w:ascii="Times New Roman" w:eastAsia="Times New Roman" w:hAnsi="Times New Roman" w:cs="Times New Roman"/>
          <w:sz w:val="24"/>
          <w:szCs w:val="24"/>
          <w:lang w:val="en-GB" w:eastAsia="cs-CZ"/>
        </w:rPr>
        <w:t>Shijian</w:t>
      </w:r>
      <w:proofErr w:type="spellEnd"/>
      <w:r w:rsidRPr="00DD346F">
        <w:rPr>
          <w:rFonts w:ascii="Times New Roman" w:eastAsia="Times New Roman" w:hAnsi="Times New Roman" w:cs="Times New Roman"/>
          <w:sz w:val="24"/>
          <w:szCs w:val="24"/>
          <w:lang w:val="en-GB" w:eastAsia="cs-CZ"/>
        </w:rPr>
        <w:t xml:space="preserve"> Ch., </w:t>
      </w:r>
      <w:proofErr w:type="spellStart"/>
      <w:r w:rsidRPr="00DD346F">
        <w:rPr>
          <w:rFonts w:ascii="Times New Roman" w:eastAsia="Times New Roman" w:hAnsi="Times New Roman" w:cs="Times New Roman"/>
          <w:sz w:val="24"/>
          <w:szCs w:val="24"/>
          <w:lang w:val="en-GB" w:eastAsia="cs-CZ"/>
        </w:rPr>
        <w:t>Suming</w:t>
      </w:r>
      <w:proofErr w:type="spellEnd"/>
      <w:r w:rsidRPr="00DD346F">
        <w:rPr>
          <w:rFonts w:ascii="Times New Roman" w:eastAsia="Times New Roman" w:hAnsi="Times New Roman" w:cs="Times New Roman"/>
          <w:sz w:val="24"/>
          <w:szCs w:val="24"/>
          <w:lang w:val="en-GB" w:eastAsia="cs-CZ"/>
        </w:rPr>
        <w:t xml:space="preserve"> C., </w:t>
      </w:r>
      <w:proofErr w:type="spellStart"/>
      <w:r w:rsidRPr="00DD346F">
        <w:rPr>
          <w:rFonts w:ascii="Times New Roman" w:eastAsia="Times New Roman" w:hAnsi="Times New Roman" w:cs="Times New Roman"/>
          <w:sz w:val="24"/>
          <w:szCs w:val="24"/>
          <w:lang w:val="en-GB" w:eastAsia="cs-CZ"/>
        </w:rPr>
        <w:t>Aitong</w:t>
      </w:r>
      <w:proofErr w:type="spellEnd"/>
      <w:r w:rsidRPr="00DD346F">
        <w:rPr>
          <w:rFonts w:ascii="Times New Roman" w:eastAsia="Times New Roman" w:hAnsi="Times New Roman" w:cs="Times New Roman"/>
          <w:sz w:val="24"/>
          <w:szCs w:val="24"/>
          <w:lang w:val="en-GB" w:eastAsia="cs-CZ"/>
        </w:rPr>
        <w:t xml:space="preserve"> H. </w:t>
      </w:r>
      <w:r>
        <w:rPr>
          <w:rFonts w:ascii="Times New Roman" w:eastAsia="Times New Roman" w:hAnsi="Times New Roman" w:cs="Times New Roman"/>
          <w:sz w:val="24"/>
          <w:szCs w:val="24"/>
          <w:lang w:val="en-GB" w:eastAsia="cs-CZ"/>
        </w:rPr>
        <w:t>(</w:t>
      </w:r>
      <w:r w:rsidRPr="00DD346F">
        <w:rPr>
          <w:rFonts w:ascii="Times New Roman" w:eastAsia="Times New Roman" w:hAnsi="Times New Roman" w:cs="Times New Roman"/>
          <w:sz w:val="24"/>
          <w:szCs w:val="24"/>
          <w:lang w:val="en-GB" w:eastAsia="cs-CZ"/>
        </w:rPr>
        <w:t>1995</w:t>
      </w:r>
      <w:r>
        <w:rPr>
          <w:rFonts w:ascii="Times New Roman" w:eastAsia="Times New Roman" w:hAnsi="Times New Roman" w:cs="Times New Roman"/>
          <w:sz w:val="24"/>
          <w:szCs w:val="24"/>
          <w:lang w:val="en-GB" w:eastAsia="cs-CZ"/>
        </w:rPr>
        <w:t>)</w:t>
      </w:r>
      <w:r w:rsidRPr="00DD346F">
        <w:rPr>
          <w:rFonts w:ascii="Times New Roman" w:eastAsia="Times New Roman" w:hAnsi="Times New Roman" w:cs="Times New Roman"/>
          <w:sz w:val="24"/>
          <w:szCs w:val="24"/>
          <w:lang w:val="en-GB" w:eastAsia="cs-CZ"/>
        </w:rPr>
        <w:t>: Effects of organic type on fractionation and availability of copper in contaminated soil. Contaminated soils 3th International conference on the biogeochemistry of trace elements, Paris, 15-19th</w:t>
      </w:r>
      <w:r>
        <w:rPr>
          <w:rFonts w:ascii="Times New Roman" w:eastAsia="Times New Roman" w:hAnsi="Times New Roman" w:cs="Times New Roman"/>
          <w:sz w:val="24"/>
          <w:szCs w:val="24"/>
          <w:lang w:val="en-GB" w:eastAsia="cs-CZ"/>
        </w:rPr>
        <w:t xml:space="preserve"> May, 1995.</w:t>
      </w:r>
    </w:p>
    <w:p w:rsidR="001F59C3" w:rsidRPr="00936FE2" w:rsidRDefault="001F59C3" w:rsidP="001F59C3">
      <w:pPr>
        <w:spacing w:after="120"/>
        <w:rPr>
          <w:rFonts w:ascii="Times New Roman" w:eastAsia="Times New Roman" w:hAnsi="Times New Roman" w:cs="Times New Roman"/>
          <w:sz w:val="24"/>
          <w:szCs w:val="24"/>
          <w:lang w:val="en-GB" w:eastAsia="cs-CZ"/>
        </w:rPr>
      </w:pPr>
      <w:r w:rsidRPr="00936FE2">
        <w:rPr>
          <w:rFonts w:ascii="Times New Roman" w:eastAsia="Times New Roman" w:hAnsi="Times New Roman" w:cs="Times New Roman"/>
          <w:sz w:val="24"/>
          <w:szCs w:val="24"/>
          <w:lang w:val="en-GB" w:eastAsia="cs-CZ"/>
        </w:rPr>
        <w:t xml:space="preserve">Shuman L. M. </w:t>
      </w:r>
      <w:r>
        <w:rPr>
          <w:rFonts w:ascii="Times New Roman" w:eastAsia="Times New Roman" w:hAnsi="Times New Roman" w:cs="Times New Roman"/>
          <w:sz w:val="24"/>
          <w:szCs w:val="24"/>
          <w:lang w:val="en-GB" w:eastAsia="cs-CZ"/>
        </w:rPr>
        <w:t>(</w:t>
      </w:r>
      <w:r w:rsidRPr="00936FE2">
        <w:rPr>
          <w:rFonts w:ascii="Times New Roman" w:eastAsia="Times New Roman" w:hAnsi="Times New Roman" w:cs="Times New Roman"/>
          <w:sz w:val="24"/>
          <w:szCs w:val="24"/>
          <w:lang w:val="en-GB" w:eastAsia="cs-CZ"/>
        </w:rPr>
        <w:t>1999</w:t>
      </w:r>
      <w:r>
        <w:rPr>
          <w:rFonts w:ascii="Times New Roman" w:eastAsia="Times New Roman" w:hAnsi="Times New Roman" w:cs="Times New Roman"/>
          <w:sz w:val="24"/>
          <w:szCs w:val="24"/>
          <w:lang w:val="en-GB" w:eastAsia="cs-CZ"/>
        </w:rPr>
        <w:t>)</w:t>
      </w:r>
      <w:r w:rsidRPr="00936FE2">
        <w:rPr>
          <w:rFonts w:ascii="Times New Roman" w:eastAsia="Times New Roman" w:hAnsi="Times New Roman" w:cs="Times New Roman"/>
          <w:sz w:val="24"/>
          <w:szCs w:val="24"/>
          <w:lang w:val="en-GB" w:eastAsia="cs-CZ"/>
        </w:rPr>
        <w:t xml:space="preserve">: Organic waste </w:t>
      </w:r>
      <w:proofErr w:type="spellStart"/>
      <w:r w:rsidRPr="00936FE2">
        <w:rPr>
          <w:rFonts w:ascii="Times New Roman" w:eastAsia="Times New Roman" w:hAnsi="Times New Roman" w:cs="Times New Roman"/>
          <w:sz w:val="24"/>
          <w:szCs w:val="24"/>
          <w:lang w:val="en-GB" w:eastAsia="cs-CZ"/>
        </w:rPr>
        <w:t>amandments</w:t>
      </w:r>
      <w:proofErr w:type="spellEnd"/>
      <w:r w:rsidRPr="00936FE2">
        <w:rPr>
          <w:rFonts w:ascii="Times New Roman" w:eastAsia="Times New Roman" w:hAnsi="Times New Roman" w:cs="Times New Roman"/>
          <w:sz w:val="24"/>
          <w:szCs w:val="24"/>
          <w:lang w:val="en-GB" w:eastAsia="cs-CZ"/>
        </w:rPr>
        <w:t xml:space="preserve"> effect on zinc fractions of two soils. Journal Environ. Qual. 28, 1999, p. 1142-1147.</w:t>
      </w:r>
    </w:p>
    <w:p w:rsidR="001F59C3" w:rsidRPr="00B94F7E" w:rsidRDefault="001F59C3" w:rsidP="001F59C3">
      <w:pPr>
        <w:spacing w:after="120"/>
        <w:rPr>
          <w:rFonts w:ascii="Times New Roman" w:eastAsia="Times New Roman" w:hAnsi="Times New Roman" w:cs="Times New Roman"/>
          <w:sz w:val="24"/>
          <w:szCs w:val="24"/>
          <w:lang w:val="en-GB" w:eastAsia="cs-CZ"/>
        </w:rPr>
      </w:pPr>
      <w:proofErr w:type="spellStart"/>
      <w:r w:rsidRPr="00665FC3">
        <w:rPr>
          <w:rFonts w:ascii="Times New Roman" w:eastAsia="Times New Roman" w:hAnsi="Times New Roman" w:cs="Times New Roman"/>
          <w:sz w:val="24"/>
          <w:szCs w:val="24"/>
          <w:lang w:val="en-GB" w:eastAsia="cs-CZ"/>
        </w:rPr>
        <w:t>Šebánek</w:t>
      </w:r>
      <w:proofErr w:type="spellEnd"/>
      <w:r w:rsidRPr="00665FC3">
        <w:rPr>
          <w:rFonts w:ascii="Times New Roman" w:eastAsia="Times New Roman" w:hAnsi="Times New Roman" w:cs="Times New Roman"/>
          <w:sz w:val="24"/>
          <w:szCs w:val="24"/>
          <w:lang w:val="en-GB" w:eastAsia="cs-CZ"/>
        </w:rPr>
        <w:t xml:space="preserve"> J., </w:t>
      </w:r>
      <w:proofErr w:type="spellStart"/>
      <w:r w:rsidRPr="00665FC3">
        <w:rPr>
          <w:rFonts w:ascii="Times New Roman" w:eastAsia="Times New Roman" w:hAnsi="Times New Roman" w:cs="Times New Roman"/>
          <w:sz w:val="24"/>
          <w:szCs w:val="24"/>
          <w:lang w:val="en-GB" w:eastAsia="cs-CZ"/>
        </w:rPr>
        <w:t>Gréc</w:t>
      </w:r>
      <w:proofErr w:type="spellEnd"/>
      <w:r w:rsidRPr="00665FC3">
        <w:rPr>
          <w:rFonts w:ascii="Times New Roman" w:eastAsia="Times New Roman" w:hAnsi="Times New Roman" w:cs="Times New Roman"/>
          <w:sz w:val="24"/>
          <w:szCs w:val="24"/>
          <w:lang w:val="en-GB" w:eastAsia="cs-CZ"/>
        </w:rPr>
        <w:t xml:space="preserve"> L., </w:t>
      </w:r>
      <w:proofErr w:type="spellStart"/>
      <w:r w:rsidRPr="00665FC3">
        <w:rPr>
          <w:rFonts w:ascii="Times New Roman" w:eastAsia="Times New Roman" w:hAnsi="Times New Roman" w:cs="Times New Roman"/>
          <w:sz w:val="24"/>
          <w:szCs w:val="24"/>
          <w:lang w:val="en-GB" w:eastAsia="cs-CZ"/>
        </w:rPr>
        <w:t>Javor</w:t>
      </w:r>
      <w:proofErr w:type="spellEnd"/>
      <w:r w:rsidRPr="00665FC3">
        <w:rPr>
          <w:rFonts w:ascii="Times New Roman" w:eastAsia="Times New Roman" w:hAnsi="Times New Roman" w:cs="Times New Roman"/>
          <w:sz w:val="24"/>
          <w:szCs w:val="24"/>
          <w:lang w:val="en-GB" w:eastAsia="cs-CZ"/>
        </w:rPr>
        <w:t xml:space="preserve"> A., </w:t>
      </w:r>
      <w:proofErr w:type="spellStart"/>
      <w:r w:rsidRPr="00665FC3">
        <w:rPr>
          <w:rFonts w:ascii="Times New Roman" w:eastAsia="Times New Roman" w:hAnsi="Times New Roman" w:cs="Times New Roman"/>
          <w:sz w:val="24"/>
          <w:szCs w:val="24"/>
          <w:lang w:val="en-GB" w:eastAsia="cs-CZ"/>
        </w:rPr>
        <w:t>Švihra</w:t>
      </w:r>
      <w:proofErr w:type="spellEnd"/>
      <w:r w:rsidRPr="00665FC3">
        <w:rPr>
          <w:rFonts w:ascii="Times New Roman" w:eastAsia="Times New Roman" w:hAnsi="Times New Roman" w:cs="Times New Roman"/>
          <w:sz w:val="24"/>
          <w:szCs w:val="24"/>
          <w:lang w:val="en-GB" w:eastAsia="cs-CZ"/>
        </w:rPr>
        <w:t xml:space="preserve"> J. </w:t>
      </w:r>
      <w:r>
        <w:rPr>
          <w:rFonts w:ascii="Times New Roman" w:eastAsia="Times New Roman" w:hAnsi="Times New Roman" w:cs="Times New Roman"/>
          <w:sz w:val="24"/>
          <w:szCs w:val="24"/>
          <w:lang w:val="en-GB" w:eastAsia="cs-CZ"/>
        </w:rPr>
        <w:t>(</w:t>
      </w:r>
      <w:r w:rsidRPr="00665FC3">
        <w:rPr>
          <w:rFonts w:ascii="Times New Roman" w:eastAsia="Times New Roman" w:hAnsi="Times New Roman" w:cs="Times New Roman"/>
          <w:sz w:val="24"/>
          <w:szCs w:val="24"/>
          <w:lang w:val="en-GB" w:eastAsia="cs-CZ"/>
        </w:rPr>
        <w:t>1983</w:t>
      </w:r>
      <w:r>
        <w:rPr>
          <w:rFonts w:ascii="Times New Roman" w:eastAsia="Times New Roman" w:hAnsi="Times New Roman" w:cs="Times New Roman"/>
          <w:sz w:val="24"/>
          <w:szCs w:val="24"/>
          <w:lang w:val="en-GB" w:eastAsia="cs-CZ"/>
        </w:rPr>
        <w:t>)</w:t>
      </w:r>
      <w:r w:rsidRPr="00665FC3">
        <w:rPr>
          <w:rFonts w:ascii="Times New Roman" w:eastAsia="Times New Roman" w:hAnsi="Times New Roman" w:cs="Times New Roman"/>
          <w:sz w:val="24"/>
          <w:szCs w:val="24"/>
          <w:lang w:val="en-GB" w:eastAsia="cs-CZ"/>
        </w:rPr>
        <w:t xml:space="preserve">: </w:t>
      </w:r>
      <w:proofErr w:type="spellStart"/>
      <w:r w:rsidRPr="00665FC3">
        <w:rPr>
          <w:rFonts w:ascii="Times New Roman" w:eastAsia="Times New Roman" w:hAnsi="Times New Roman" w:cs="Times New Roman"/>
          <w:sz w:val="24"/>
          <w:szCs w:val="24"/>
          <w:lang w:val="en-GB" w:eastAsia="cs-CZ"/>
        </w:rPr>
        <w:t>Fyziologie</w:t>
      </w:r>
      <w:proofErr w:type="spellEnd"/>
      <w:r w:rsidRPr="00665FC3">
        <w:rPr>
          <w:rFonts w:ascii="Times New Roman" w:eastAsia="Times New Roman" w:hAnsi="Times New Roman" w:cs="Times New Roman"/>
          <w:sz w:val="24"/>
          <w:szCs w:val="24"/>
          <w:lang w:val="en-GB" w:eastAsia="cs-CZ"/>
        </w:rPr>
        <w:t xml:space="preserve"> </w:t>
      </w:r>
      <w:proofErr w:type="spellStart"/>
      <w:r w:rsidRPr="00665FC3">
        <w:rPr>
          <w:rFonts w:ascii="Times New Roman" w:eastAsia="Times New Roman" w:hAnsi="Times New Roman" w:cs="Times New Roman"/>
          <w:sz w:val="24"/>
          <w:szCs w:val="24"/>
          <w:lang w:val="en-GB" w:eastAsia="cs-CZ"/>
        </w:rPr>
        <w:t>rostlin</w:t>
      </w:r>
      <w:proofErr w:type="spellEnd"/>
      <w:r w:rsidRPr="00665FC3">
        <w:rPr>
          <w:rFonts w:ascii="Times New Roman" w:eastAsia="Times New Roman" w:hAnsi="Times New Roman" w:cs="Times New Roman"/>
          <w:sz w:val="24"/>
          <w:szCs w:val="24"/>
          <w:lang w:val="en-GB" w:eastAsia="cs-CZ"/>
        </w:rPr>
        <w:t xml:space="preserve">, </w:t>
      </w:r>
      <w:proofErr w:type="spellStart"/>
      <w:r w:rsidRPr="00665FC3">
        <w:rPr>
          <w:rFonts w:ascii="Times New Roman" w:eastAsia="Times New Roman" w:hAnsi="Times New Roman" w:cs="Times New Roman"/>
          <w:sz w:val="24"/>
          <w:szCs w:val="24"/>
          <w:lang w:val="en-GB" w:eastAsia="cs-CZ"/>
        </w:rPr>
        <w:t>Státní</w:t>
      </w:r>
      <w:proofErr w:type="spellEnd"/>
      <w:r w:rsidRPr="00665FC3">
        <w:rPr>
          <w:rFonts w:ascii="Times New Roman" w:eastAsia="Times New Roman" w:hAnsi="Times New Roman" w:cs="Times New Roman"/>
          <w:sz w:val="24"/>
          <w:szCs w:val="24"/>
          <w:lang w:val="en-GB" w:eastAsia="cs-CZ"/>
        </w:rPr>
        <w:t xml:space="preserve"> </w:t>
      </w:r>
      <w:proofErr w:type="spellStart"/>
      <w:r w:rsidRPr="00665FC3">
        <w:rPr>
          <w:rFonts w:ascii="Times New Roman" w:eastAsia="Times New Roman" w:hAnsi="Times New Roman" w:cs="Times New Roman"/>
          <w:sz w:val="24"/>
          <w:szCs w:val="24"/>
          <w:lang w:val="en-GB" w:eastAsia="cs-CZ"/>
        </w:rPr>
        <w:t>zemědělské</w:t>
      </w:r>
      <w:proofErr w:type="spellEnd"/>
      <w:r w:rsidRPr="00665FC3">
        <w:rPr>
          <w:rFonts w:ascii="Times New Roman" w:eastAsia="Times New Roman" w:hAnsi="Times New Roman" w:cs="Times New Roman"/>
          <w:sz w:val="24"/>
          <w:szCs w:val="24"/>
          <w:lang w:val="en-GB" w:eastAsia="cs-CZ"/>
        </w:rPr>
        <w:t xml:space="preserve"> </w:t>
      </w:r>
      <w:proofErr w:type="spellStart"/>
      <w:r w:rsidRPr="00665FC3">
        <w:rPr>
          <w:rFonts w:ascii="Times New Roman" w:eastAsia="Times New Roman" w:hAnsi="Times New Roman" w:cs="Times New Roman"/>
          <w:sz w:val="24"/>
          <w:szCs w:val="24"/>
          <w:lang w:val="en-GB" w:eastAsia="cs-CZ"/>
        </w:rPr>
        <w:t>nakladatelství</w:t>
      </w:r>
      <w:proofErr w:type="spellEnd"/>
      <w:r w:rsidRPr="00665FC3">
        <w:rPr>
          <w:rFonts w:ascii="Times New Roman" w:eastAsia="Times New Roman" w:hAnsi="Times New Roman" w:cs="Times New Roman"/>
          <w:sz w:val="24"/>
          <w:szCs w:val="24"/>
          <w:lang w:val="en-GB" w:eastAsia="cs-CZ"/>
        </w:rPr>
        <w:t>, Praha, 1983, 558 s.</w:t>
      </w:r>
      <w:r>
        <w:rPr>
          <w:rFonts w:ascii="Times New Roman" w:eastAsia="Times New Roman" w:hAnsi="Times New Roman" w:cs="Times New Roman"/>
          <w:sz w:val="24"/>
          <w:szCs w:val="24"/>
          <w:lang w:val="en-GB" w:eastAsia="cs-CZ"/>
        </w:rPr>
        <w:t xml:space="preserve"> </w:t>
      </w:r>
    </w:p>
    <w:p w:rsidR="001F59C3" w:rsidRPr="00936FE2" w:rsidRDefault="001F59C3" w:rsidP="001F59C3">
      <w:pPr>
        <w:tabs>
          <w:tab w:val="left" w:pos="709"/>
        </w:tabs>
        <w:spacing w:after="120"/>
        <w:rPr>
          <w:rFonts w:ascii="Times New Roman" w:eastAsia="Times New Roman" w:hAnsi="Times New Roman" w:cs="Times New Roman"/>
          <w:sz w:val="24"/>
          <w:szCs w:val="24"/>
          <w:lang w:val="en-GB" w:eastAsia="cs-CZ"/>
        </w:rPr>
      </w:pPr>
      <w:r w:rsidRPr="00936FE2">
        <w:rPr>
          <w:rFonts w:ascii="Times New Roman" w:eastAsia="Times New Roman" w:hAnsi="Times New Roman" w:cs="Times New Roman"/>
          <w:sz w:val="24"/>
          <w:szCs w:val="24"/>
          <w:lang w:val="en-GB" w:eastAsia="cs-CZ"/>
        </w:rPr>
        <w:t xml:space="preserve">Tessier A., Campbell P. G. C., Bisson M. </w:t>
      </w:r>
      <w:r>
        <w:rPr>
          <w:rFonts w:ascii="Times New Roman" w:eastAsia="Times New Roman" w:hAnsi="Times New Roman" w:cs="Times New Roman"/>
          <w:sz w:val="24"/>
          <w:szCs w:val="24"/>
          <w:lang w:val="en-GB" w:eastAsia="cs-CZ"/>
        </w:rPr>
        <w:t>(</w:t>
      </w:r>
      <w:r w:rsidRPr="00936FE2">
        <w:rPr>
          <w:rFonts w:ascii="Times New Roman" w:eastAsia="Times New Roman" w:hAnsi="Times New Roman" w:cs="Times New Roman"/>
          <w:sz w:val="24"/>
          <w:szCs w:val="24"/>
          <w:lang w:val="en-GB" w:eastAsia="cs-CZ"/>
        </w:rPr>
        <w:t>1979</w:t>
      </w:r>
      <w:r>
        <w:rPr>
          <w:rFonts w:ascii="Times New Roman" w:eastAsia="Times New Roman" w:hAnsi="Times New Roman" w:cs="Times New Roman"/>
          <w:sz w:val="24"/>
          <w:szCs w:val="24"/>
          <w:lang w:val="en-GB" w:eastAsia="cs-CZ"/>
        </w:rPr>
        <w:t>)</w:t>
      </w:r>
      <w:r w:rsidRPr="00936FE2">
        <w:rPr>
          <w:rFonts w:ascii="Times New Roman" w:eastAsia="Times New Roman" w:hAnsi="Times New Roman" w:cs="Times New Roman"/>
          <w:sz w:val="24"/>
          <w:szCs w:val="24"/>
          <w:lang w:val="en-GB" w:eastAsia="cs-CZ"/>
        </w:rPr>
        <w:t>: Sequential extraction procedure for the speciation of particulate trace metals. Analytical Chemistry, 51, p. 844-851.</w:t>
      </w:r>
    </w:p>
    <w:p w:rsidR="001F59C3" w:rsidRPr="00B94F7E" w:rsidRDefault="001F59C3" w:rsidP="001F59C3">
      <w:pPr>
        <w:tabs>
          <w:tab w:val="left" w:pos="709"/>
        </w:tabs>
        <w:spacing w:after="120"/>
        <w:rPr>
          <w:rFonts w:ascii="Times New Roman" w:eastAsia="Times New Roman" w:hAnsi="Times New Roman" w:cs="Times New Roman"/>
          <w:sz w:val="24"/>
          <w:szCs w:val="24"/>
          <w:lang w:val="en-GB" w:eastAsia="cs-CZ"/>
        </w:rPr>
      </w:pPr>
      <w:proofErr w:type="spellStart"/>
      <w:r w:rsidRPr="002F5AA4">
        <w:rPr>
          <w:rFonts w:ascii="Times New Roman" w:eastAsia="Times New Roman" w:hAnsi="Times New Roman" w:cs="Times New Roman"/>
          <w:sz w:val="24"/>
          <w:szCs w:val="24"/>
          <w:lang w:val="en-GB" w:eastAsia="cs-CZ"/>
        </w:rPr>
        <w:t>Tlustoš</w:t>
      </w:r>
      <w:proofErr w:type="spellEnd"/>
      <w:r w:rsidRPr="002F5AA4">
        <w:rPr>
          <w:rFonts w:ascii="Times New Roman" w:eastAsia="Times New Roman" w:hAnsi="Times New Roman" w:cs="Times New Roman"/>
          <w:sz w:val="24"/>
          <w:szCs w:val="24"/>
          <w:lang w:val="en-GB" w:eastAsia="cs-CZ"/>
        </w:rPr>
        <w:t xml:space="preserve"> P., </w:t>
      </w:r>
      <w:proofErr w:type="spellStart"/>
      <w:r w:rsidRPr="002F5AA4">
        <w:rPr>
          <w:rFonts w:ascii="Times New Roman" w:eastAsia="Times New Roman" w:hAnsi="Times New Roman" w:cs="Times New Roman"/>
          <w:sz w:val="24"/>
          <w:szCs w:val="24"/>
          <w:lang w:val="en-GB" w:eastAsia="cs-CZ"/>
        </w:rPr>
        <w:t>Balík</w:t>
      </w:r>
      <w:proofErr w:type="spellEnd"/>
      <w:r w:rsidRPr="002F5AA4">
        <w:rPr>
          <w:rFonts w:ascii="Times New Roman" w:eastAsia="Times New Roman" w:hAnsi="Times New Roman" w:cs="Times New Roman"/>
          <w:sz w:val="24"/>
          <w:szCs w:val="24"/>
          <w:lang w:val="en-GB" w:eastAsia="cs-CZ"/>
        </w:rPr>
        <w:t xml:space="preserve"> J., </w:t>
      </w:r>
      <w:proofErr w:type="spellStart"/>
      <w:r w:rsidRPr="002F5AA4">
        <w:rPr>
          <w:rFonts w:ascii="Times New Roman" w:eastAsia="Times New Roman" w:hAnsi="Times New Roman" w:cs="Times New Roman"/>
          <w:sz w:val="24"/>
          <w:szCs w:val="24"/>
          <w:lang w:val="en-GB" w:eastAsia="cs-CZ"/>
        </w:rPr>
        <w:t>Szaková</w:t>
      </w:r>
      <w:proofErr w:type="spellEnd"/>
      <w:r w:rsidRPr="002F5AA4">
        <w:rPr>
          <w:rFonts w:ascii="Times New Roman" w:eastAsia="Times New Roman" w:hAnsi="Times New Roman" w:cs="Times New Roman"/>
          <w:sz w:val="24"/>
          <w:szCs w:val="24"/>
          <w:lang w:val="en-GB" w:eastAsia="cs-CZ"/>
        </w:rPr>
        <w:t xml:space="preserve"> J., </w:t>
      </w:r>
      <w:proofErr w:type="spellStart"/>
      <w:proofErr w:type="gramStart"/>
      <w:r w:rsidRPr="002F5AA4">
        <w:rPr>
          <w:rFonts w:ascii="Times New Roman" w:eastAsia="Times New Roman" w:hAnsi="Times New Roman" w:cs="Times New Roman"/>
          <w:sz w:val="24"/>
          <w:szCs w:val="24"/>
          <w:lang w:val="en-GB" w:eastAsia="cs-CZ"/>
        </w:rPr>
        <w:t>Pavlíková</w:t>
      </w:r>
      <w:proofErr w:type="spellEnd"/>
      <w:proofErr w:type="gramEnd"/>
      <w:r w:rsidRPr="002F5AA4">
        <w:rPr>
          <w:rFonts w:ascii="Times New Roman" w:eastAsia="Times New Roman" w:hAnsi="Times New Roman" w:cs="Times New Roman"/>
          <w:sz w:val="24"/>
          <w:szCs w:val="24"/>
          <w:lang w:val="en-GB" w:eastAsia="cs-CZ"/>
        </w:rPr>
        <w:t xml:space="preserve"> D., Hanc A. </w:t>
      </w:r>
      <w:r>
        <w:rPr>
          <w:rFonts w:ascii="Times New Roman" w:eastAsia="Times New Roman" w:hAnsi="Times New Roman" w:cs="Times New Roman"/>
          <w:sz w:val="24"/>
          <w:szCs w:val="24"/>
          <w:lang w:val="en-GB" w:eastAsia="cs-CZ"/>
        </w:rPr>
        <w:t>(</w:t>
      </w:r>
      <w:r w:rsidRPr="002F5AA4">
        <w:rPr>
          <w:rFonts w:ascii="Times New Roman" w:eastAsia="Times New Roman" w:hAnsi="Times New Roman" w:cs="Times New Roman"/>
          <w:sz w:val="24"/>
          <w:szCs w:val="24"/>
          <w:lang w:val="en-GB" w:eastAsia="cs-CZ"/>
        </w:rPr>
        <w:t>1999</w:t>
      </w:r>
      <w:r>
        <w:rPr>
          <w:rFonts w:ascii="Times New Roman" w:eastAsia="Times New Roman" w:hAnsi="Times New Roman" w:cs="Times New Roman"/>
          <w:sz w:val="24"/>
          <w:szCs w:val="24"/>
          <w:lang w:val="en-GB" w:eastAsia="cs-CZ"/>
        </w:rPr>
        <w:t>)</w:t>
      </w:r>
      <w:r w:rsidRPr="002F5AA4">
        <w:rPr>
          <w:rFonts w:ascii="Times New Roman" w:eastAsia="Times New Roman" w:hAnsi="Times New Roman" w:cs="Times New Roman"/>
          <w:sz w:val="24"/>
          <w:szCs w:val="24"/>
          <w:lang w:val="en-GB" w:eastAsia="cs-CZ"/>
        </w:rPr>
        <w:t>: The effect of different nitrogen forms on the accumulation of Cd in plants. 5th International Conference on the Biogeochemistry of Trace Elements, 11.-15. July, Vienna, Austria</w:t>
      </w:r>
      <w:proofErr w:type="gramStart"/>
      <w:r w:rsidRPr="002F5AA4">
        <w:rPr>
          <w:rFonts w:ascii="Times New Roman" w:eastAsia="Times New Roman" w:hAnsi="Times New Roman" w:cs="Times New Roman"/>
          <w:sz w:val="24"/>
          <w:szCs w:val="24"/>
          <w:lang w:val="en-GB" w:eastAsia="cs-CZ"/>
        </w:rPr>
        <w:t>,  Proceedings</w:t>
      </w:r>
      <w:proofErr w:type="gramEnd"/>
      <w:r w:rsidRPr="002F5AA4">
        <w:rPr>
          <w:rFonts w:ascii="Times New Roman" w:eastAsia="Times New Roman" w:hAnsi="Times New Roman" w:cs="Times New Roman"/>
          <w:sz w:val="24"/>
          <w:szCs w:val="24"/>
          <w:lang w:val="en-GB" w:eastAsia="cs-CZ"/>
        </w:rPr>
        <w:t xml:space="preserve"> of extended abstracts, </w:t>
      </w:r>
      <w:r>
        <w:rPr>
          <w:rFonts w:ascii="Times New Roman" w:eastAsia="Times New Roman" w:hAnsi="Times New Roman" w:cs="Times New Roman"/>
          <w:sz w:val="24"/>
          <w:szCs w:val="24"/>
          <w:lang w:val="en-GB" w:eastAsia="cs-CZ"/>
        </w:rPr>
        <w:t>190-191.</w:t>
      </w:r>
    </w:p>
    <w:p w:rsidR="001F59C3" w:rsidRPr="00B94F7E" w:rsidRDefault="001F59C3" w:rsidP="001F59C3">
      <w:pPr>
        <w:tabs>
          <w:tab w:val="left" w:pos="709"/>
        </w:tabs>
        <w:spacing w:after="120"/>
        <w:rPr>
          <w:rFonts w:ascii="Times New Roman" w:eastAsia="Times New Roman" w:hAnsi="Times New Roman" w:cs="Times New Roman"/>
          <w:sz w:val="24"/>
          <w:szCs w:val="24"/>
          <w:lang w:val="en-GB" w:eastAsia="cs-CZ"/>
        </w:rPr>
      </w:pPr>
      <w:proofErr w:type="spellStart"/>
      <w:r w:rsidRPr="00FF0C06">
        <w:rPr>
          <w:rFonts w:ascii="Times New Roman" w:eastAsia="Times New Roman" w:hAnsi="Times New Roman" w:cs="Times New Roman"/>
          <w:sz w:val="24"/>
          <w:szCs w:val="24"/>
          <w:lang w:val="en-GB" w:eastAsia="cs-CZ"/>
        </w:rPr>
        <w:t>Thöming</w:t>
      </w:r>
      <w:proofErr w:type="spellEnd"/>
      <w:r w:rsidRPr="00FF0C06">
        <w:rPr>
          <w:rFonts w:ascii="Times New Roman" w:eastAsia="Times New Roman" w:hAnsi="Times New Roman" w:cs="Times New Roman"/>
          <w:sz w:val="24"/>
          <w:szCs w:val="24"/>
          <w:lang w:val="en-GB" w:eastAsia="cs-CZ"/>
        </w:rPr>
        <w:t xml:space="preserve"> J., </w:t>
      </w:r>
      <w:proofErr w:type="spellStart"/>
      <w:r w:rsidRPr="00FF0C06">
        <w:rPr>
          <w:rFonts w:ascii="Times New Roman" w:eastAsia="Times New Roman" w:hAnsi="Times New Roman" w:cs="Times New Roman"/>
          <w:sz w:val="24"/>
          <w:szCs w:val="24"/>
          <w:lang w:val="en-GB" w:eastAsia="cs-CZ"/>
        </w:rPr>
        <w:t>Calmano</w:t>
      </w:r>
      <w:proofErr w:type="spellEnd"/>
      <w:r w:rsidRPr="00FF0C06">
        <w:rPr>
          <w:rFonts w:ascii="Times New Roman" w:eastAsia="Times New Roman" w:hAnsi="Times New Roman" w:cs="Times New Roman"/>
          <w:sz w:val="24"/>
          <w:szCs w:val="24"/>
          <w:lang w:val="en-GB" w:eastAsia="cs-CZ"/>
        </w:rPr>
        <w:t xml:space="preserve"> W. </w:t>
      </w:r>
      <w:r>
        <w:rPr>
          <w:rFonts w:ascii="Times New Roman" w:eastAsia="Times New Roman" w:hAnsi="Times New Roman" w:cs="Times New Roman"/>
          <w:sz w:val="24"/>
          <w:szCs w:val="24"/>
          <w:lang w:val="en-GB" w:eastAsia="cs-CZ"/>
        </w:rPr>
        <w:t>(</w:t>
      </w:r>
      <w:r w:rsidRPr="00FF0C06">
        <w:rPr>
          <w:rFonts w:ascii="Times New Roman" w:eastAsia="Times New Roman" w:hAnsi="Times New Roman" w:cs="Times New Roman"/>
          <w:sz w:val="24"/>
          <w:szCs w:val="24"/>
          <w:lang w:val="en-GB" w:eastAsia="cs-CZ"/>
        </w:rPr>
        <w:t>1995</w:t>
      </w:r>
      <w:r>
        <w:rPr>
          <w:rFonts w:ascii="Times New Roman" w:eastAsia="Times New Roman" w:hAnsi="Times New Roman" w:cs="Times New Roman"/>
          <w:sz w:val="24"/>
          <w:szCs w:val="24"/>
          <w:lang w:val="en-GB" w:eastAsia="cs-CZ"/>
        </w:rPr>
        <w:t>)</w:t>
      </w:r>
      <w:r w:rsidRPr="00FF0C06">
        <w:rPr>
          <w:rFonts w:ascii="Times New Roman" w:eastAsia="Times New Roman" w:hAnsi="Times New Roman" w:cs="Times New Roman"/>
          <w:sz w:val="24"/>
          <w:szCs w:val="24"/>
          <w:lang w:val="en-GB" w:eastAsia="cs-CZ"/>
        </w:rPr>
        <w:t xml:space="preserve">: Remediation of heavy metal contaminated soils by acid leaching and electrolytic metal separation. </w:t>
      </w:r>
      <w:proofErr w:type="spellStart"/>
      <w:r w:rsidRPr="00FF0C06">
        <w:rPr>
          <w:rFonts w:ascii="Times New Roman" w:eastAsia="Times New Roman" w:hAnsi="Times New Roman" w:cs="Times New Roman"/>
          <w:sz w:val="24"/>
          <w:szCs w:val="24"/>
          <w:lang w:val="en-GB" w:eastAsia="cs-CZ"/>
        </w:rPr>
        <w:t>Contaminared</w:t>
      </w:r>
      <w:proofErr w:type="spellEnd"/>
      <w:r w:rsidRPr="00FF0C06">
        <w:rPr>
          <w:rFonts w:ascii="Times New Roman" w:eastAsia="Times New Roman" w:hAnsi="Times New Roman" w:cs="Times New Roman"/>
          <w:sz w:val="24"/>
          <w:szCs w:val="24"/>
          <w:lang w:val="en-GB" w:eastAsia="cs-CZ"/>
        </w:rPr>
        <w:t xml:space="preserve"> soils 95. Proceeding of the Fifth International FZK/TNO Conference on </w:t>
      </w:r>
      <w:proofErr w:type="spellStart"/>
      <w:r w:rsidRPr="00FF0C06">
        <w:rPr>
          <w:rFonts w:ascii="Times New Roman" w:eastAsia="Times New Roman" w:hAnsi="Times New Roman" w:cs="Times New Roman"/>
          <w:sz w:val="24"/>
          <w:szCs w:val="24"/>
          <w:lang w:val="en-GB" w:eastAsia="cs-CZ"/>
        </w:rPr>
        <w:t>contaminared</w:t>
      </w:r>
      <w:proofErr w:type="spellEnd"/>
      <w:r w:rsidRPr="00FF0C06">
        <w:rPr>
          <w:rFonts w:ascii="Times New Roman" w:eastAsia="Times New Roman" w:hAnsi="Times New Roman" w:cs="Times New Roman"/>
          <w:sz w:val="24"/>
          <w:szCs w:val="24"/>
          <w:lang w:val="en-GB" w:eastAsia="cs-CZ"/>
        </w:rPr>
        <w:t xml:space="preserve"> soil, 30th October – 3th November 199</w:t>
      </w:r>
      <w:r>
        <w:rPr>
          <w:rFonts w:ascii="Times New Roman" w:eastAsia="Times New Roman" w:hAnsi="Times New Roman" w:cs="Times New Roman"/>
          <w:sz w:val="24"/>
          <w:szCs w:val="24"/>
          <w:lang w:val="en-GB" w:eastAsia="cs-CZ"/>
        </w:rPr>
        <w:t>5, Maastricht, the Netherlands.</w:t>
      </w:r>
    </w:p>
    <w:p w:rsidR="001F59C3" w:rsidRPr="00244AD0" w:rsidRDefault="001F59C3" w:rsidP="001F59C3">
      <w:pPr>
        <w:tabs>
          <w:tab w:val="left" w:pos="709"/>
        </w:tabs>
        <w:spacing w:after="120"/>
        <w:rPr>
          <w:rFonts w:ascii="Times New Roman" w:eastAsia="Times New Roman" w:hAnsi="Times New Roman" w:cs="Times New Roman"/>
          <w:sz w:val="24"/>
          <w:szCs w:val="24"/>
          <w:lang w:val="en-GB" w:eastAsia="cs-CZ"/>
        </w:rPr>
      </w:pPr>
      <w:proofErr w:type="spellStart"/>
      <w:r w:rsidRPr="00244AD0">
        <w:rPr>
          <w:rFonts w:ascii="Times New Roman" w:eastAsia="Times New Roman" w:hAnsi="Times New Roman" w:cs="Times New Roman"/>
          <w:sz w:val="24"/>
          <w:szCs w:val="24"/>
          <w:lang w:val="en-GB" w:eastAsia="cs-CZ"/>
        </w:rPr>
        <w:t>Turpault</w:t>
      </w:r>
      <w:proofErr w:type="spellEnd"/>
      <w:r w:rsidRPr="00244AD0">
        <w:rPr>
          <w:rFonts w:ascii="Times New Roman" w:eastAsia="Times New Roman" w:hAnsi="Times New Roman" w:cs="Times New Roman"/>
          <w:sz w:val="24"/>
          <w:szCs w:val="24"/>
          <w:lang w:val="en-GB" w:eastAsia="cs-CZ"/>
        </w:rPr>
        <w:t xml:space="preserve"> M.-P., </w:t>
      </w:r>
      <w:proofErr w:type="spellStart"/>
      <w:r w:rsidRPr="00244AD0">
        <w:rPr>
          <w:rFonts w:ascii="Times New Roman" w:eastAsia="Times New Roman" w:hAnsi="Times New Roman" w:cs="Times New Roman"/>
          <w:sz w:val="24"/>
          <w:szCs w:val="24"/>
          <w:lang w:val="en-GB" w:eastAsia="cs-CZ"/>
        </w:rPr>
        <w:t>Bonnaud</w:t>
      </w:r>
      <w:proofErr w:type="spellEnd"/>
      <w:r w:rsidRPr="00244AD0">
        <w:rPr>
          <w:rFonts w:ascii="Times New Roman" w:eastAsia="Times New Roman" w:hAnsi="Times New Roman" w:cs="Times New Roman"/>
          <w:sz w:val="24"/>
          <w:szCs w:val="24"/>
          <w:lang w:val="en-GB" w:eastAsia="cs-CZ"/>
        </w:rPr>
        <w:t xml:space="preserve"> P., </w:t>
      </w:r>
      <w:proofErr w:type="spellStart"/>
      <w:r w:rsidRPr="00244AD0">
        <w:rPr>
          <w:rFonts w:ascii="Times New Roman" w:eastAsia="Times New Roman" w:hAnsi="Times New Roman" w:cs="Times New Roman"/>
          <w:sz w:val="24"/>
          <w:szCs w:val="24"/>
          <w:lang w:val="en-GB" w:eastAsia="cs-CZ"/>
        </w:rPr>
        <w:t>Fichter</w:t>
      </w:r>
      <w:proofErr w:type="spellEnd"/>
      <w:r w:rsidRPr="00244AD0">
        <w:rPr>
          <w:rFonts w:ascii="Times New Roman" w:eastAsia="Times New Roman" w:hAnsi="Times New Roman" w:cs="Times New Roman"/>
          <w:sz w:val="24"/>
          <w:szCs w:val="24"/>
          <w:lang w:val="en-GB" w:eastAsia="cs-CZ"/>
        </w:rPr>
        <w:t xml:space="preserve"> J., Ranger J., </w:t>
      </w:r>
      <w:proofErr w:type="spellStart"/>
      <w:r w:rsidRPr="00244AD0">
        <w:rPr>
          <w:rFonts w:ascii="Times New Roman" w:eastAsia="Times New Roman" w:hAnsi="Times New Roman" w:cs="Times New Roman"/>
          <w:sz w:val="24"/>
          <w:szCs w:val="24"/>
          <w:lang w:val="en-GB" w:eastAsia="cs-CZ"/>
        </w:rPr>
        <w:t>Dambrine</w:t>
      </w:r>
      <w:proofErr w:type="spellEnd"/>
      <w:r w:rsidRPr="00244AD0">
        <w:rPr>
          <w:rFonts w:ascii="Times New Roman" w:eastAsia="Times New Roman" w:hAnsi="Times New Roman" w:cs="Times New Roman"/>
          <w:sz w:val="24"/>
          <w:szCs w:val="24"/>
          <w:lang w:val="en-GB" w:eastAsia="cs-CZ"/>
        </w:rPr>
        <w:t xml:space="preserve"> E. </w:t>
      </w:r>
      <w:r>
        <w:rPr>
          <w:rFonts w:ascii="Times New Roman" w:eastAsia="Times New Roman" w:hAnsi="Times New Roman" w:cs="Times New Roman"/>
          <w:sz w:val="24"/>
          <w:szCs w:val="24"/>
          <w:lang w:val="en-GB" w:eastAsia="cs-CZ"/>
        </w:rPr>
        <w:t>(</w:t>
      </w:r>
      <w:r w:rsidRPr="00244AD0">
        <w:rPr>
          <w:rFonts w:ascii="Times New Roman" w:eastAsia="Times New Roman" w:hAnsi="Times New Roman" w:cs="Times New Roman"/>
          <w:sz w:val="24"/>
          <w:szCs w:val="24"/>
          <w:lang w:val="en-GB" w:eastAsia="cs-CZ"/>
        </w:rPr>
        <w:t>1996</w:t>
      </w:r>
      <w:r>
        <w:rPr>
          <w:rFonts w:ascii="Times New Roman" w:eastAsia="Times New Roman" w:hAnsi="Times New Roman" w:cs="Times New Roman"/>
          <w:sz w:val="24"/>
          <w:szCs w:val="24"/>
          <w:lang w:val="en-GB" w:eastAsia="cs-CZ"/>
        </w:rPr>
        <w:t>)</w:t>
      </w:r>
      <w:r w:rsidRPr="00244AD0">
        <w:rPr>
          <w:rFonts w:ascii="Times New Roman" w:eastAsia="Times New Roman" w:hAnsi="Times New Roman" w:cs="Times New Roman"/>
          <w:sz w:val="24"/>
          <w:szCs w:val="24"/>
          <w:lang w:val="en-GB" w:eastAsia="cs-CZ"/>
        </w:rPr>
        <w:t xml:space="preserve">: Distribution of cation exchange capacity between organic matter and minerals fractions in acid forest soils </w:t>
      </w:r>
      <w:proofErr w:type="gramStart"/>
      <w:r w:rsidRPr="00244AD0">
        <w:rPr>
          <w:rFonts w:ascii="Times New Roman" w:eastAsia="Times New Roman" w:hAnsi="Times New Roman" w:cs="Times New Roman"/>
          <w:sz w:val="24"/>
          <w:szCs w:val="24"/>
          <w:lang w:val="en-GB" w:eastAsia="cs-CZ"/>
        </w:rPr>
        <w:t>( Vosges</w:t>
      </w:r>
      <w:proofErr w:type="gramEnd"/>
      <w:r w:rsidRPr="00244AD0">
        <w:rPr>
          <w:rFonts w:ascii="Times New Roman" w:eastAsia="Times New Roman" w:hAnsi="Times New Roman" w:cs="Times New Roman"/>
          <w:sz w:val="24"/>
          <w:szCs w:val="24"/>
          <w:lang w:val="en-GB" w:eastAsia="cs-CZ"/>
        </w:rPr>
        <w:t xml:space="preserve"> mountains, France). European Journal of Soil Science, December 1996, 47, p. 545-556.</w:t>
      </w:r>
    </w:p>
    <w:p w:rsidR="001F59C3" w:rsidRPr="002C7975" w:rsidRDefault="001F59C3" w:rsidP="001F59C3">
      <w:pPr>
        <w:pStyle w:val="Zkladntext"/>
        <w:rPr>
          <w:rFonts w:ascii="Times New Roman" w:eastAsia="Times New Roman" w:hAnsi="Times New Roman" w:cs="Times New Roman"/>
          <w:sz w:val="24"/>
          <w:szCs w:val="24"/>
          <w:lang w:val="en-GB" w:eastAsia="cs-CZ"/>
        </w:rPr>
      </w:pPr>
      <w:r w:rsidRPr="002C7975">
        <w:rPr>
          <w:rFonts w:ascii="Times New Roman" w:eastAsia="Times New Roman" w:hAnsi="Times New Roman" w:cs="Times New Roman"/>
          <w:sz w:val="24"/>
          <w:szCs w:val="24"/>
          <w:lang w:val="en-GB" w:eastAsia="cs-CZ"/>
        </w:rPr>
        <w:t>Vácha R., Čechmánková J., Havelková M., Horváthová V., Skála J. (2008): Přestup polycyklických aromatických uhlovodíků z půdy do vybraných rostlin. Chemické listy, 11: 1003 – 1010.</w:t>
      </w:r>
    </w:p>
    <w:p w:rsidR="001F59C3" w:rsidRPr="003B581C" w:rsidRDefault="001F59C3" w:rsidP="001F59C3">
      <w:pPr>
        <w:pStyle w:val="Nzev"/>
        <w:spacing w:after="120"/>
        <w:jc w:val="left"/>
        <w:rPr>
          <w:b w:val="0"/>
        </w:rPr>
      </w:pPr>
      <w:r>
        <w:rPr>
          <w:b w:val="0"/>
        </w:rPr>
        <w:t>Vácha R, Sáňka M. (2009): Podklady pro kvalitativní ochranu půdy a vypracování návrhu vyhlášky o stanovení preventivních a indikačních hodnot rizikových látek v půdě. Studie pro MŽP ČR, 38 s.</w:t>
      </w:r>
    </w:p>
    <w:p w:rsidR="001F59C3" w:rsidRPr="002C7975" w:rsidRDefault="001F59C3" w:rsidP="001F59C3">
      <w:pPr>
        <w:pStyle w:val="Zkladntext"/>
        <w:rPr>
          <w:rFonts w:ascii="Times New Roman" w:eastAsia="Times New Roman" w:hAnsi="Times New Roman" w:cs="Times New Roman"/>
          <w:sz w:val="24"/>
          <w:szCs w:val="24"/>
          <w:lang w:val="en-GB" w:eastAsia="cs-CZ"/>
        </w:rPr>
      </w:pPr>
      <w:r w:rsidRPr="002C7975">
        <w:rPr>
          <w:rFonts w:ascii="Times New Roman" w:eastAsia="Times New Roman" w:hAnsi="Times New Roman" w:cs="Times New Roman"/>
          <w:sz w:val="24"/>
          <w:szCs w:val="24"/>
          <w:lang w:val="en-GB" w:eastAsia="cs-CZ"/>
        </w:rPr>
        <w:t>Vácha R., Čechmánková J., Skála J. (2010): Polycyclic aromatic hydrocarbons in soil and selected plants. Plant, Soil and Environment, 56(9): 434-443</w:t>
      </w:r>
    </w:p>
    <w:p w:rsidR="001F59C3" w:rsidRPr="002C7975" w:rsidRDefault="001F59C3" w:rsidP="001F59C3">
      <w:pPr>
        <w:pStyle w:val="Zkladntext"/>
        <w:rPr>
          <w:rFonts w:ascii="Times New Roman" w:eastAsia="Times New Roman" w:hAnsi="Times New Roman" w:cs="Times New Roman"/>
          <w:sz w:val="24"/>
          <w:szCs w:val="24"/>
          <w:lang w:val="en-GB" w:eastAsia="cs-CZ"/>
        </w:rPr>
      </w:pPr>
      <w:r w:rsidRPr="002C7975">
        <w:rPr>
          <w:rFonts w:ascii="Times New Roman" w:eastAsia="Times New Roman" w:hAnsi="Times New Roman" w:cs="Times New Roman"/>
          <w:sz w:val="24"/>
          <w:szCs w:val="24"/>
          <w:lang w:val="en-GB" w:eastAsia="cs-CZ"/>
        </w:rPr>
        <w:t xml:space="preserve">Vácha R., Sáňka M., Hauptman I., Zimová M., Čechmánková J. (2014): Assessment of limit values of risk elements and persistent organic pollutants in soil for Czech legislation. Plant, Soil and Environment, 60(5): 191-197. </w:t>
      </w:r>
    </w:p>
    <w:p w:rsidR="001F59C3" w:rsidRDefault="001F59C3" w:rsidP="001F59C3">
      <w:pPr>
        <w:pStyle w:val="Literatura"/>
        <w:spacing w:after="120" w:line="240" w:lineRule="auto"/>
        <w:ind w:left="0" w:firstLine="0"/>
        <w:rPr>
          <w:sz w:val="24"/>
          <w:lang w:val="en-GB"/>
        </w:rPr>
      </w:pPr>
      <w:r w:rsidRPr="00975089">
        <w:rPr>
          <w:sz w:val="24"/>
          <w:lang w:val="en-GB"/>
        </w:rPr>
        <w:t>Vácha R</w:t>
      </w:r>
      <w:r>
        <w:rPr>
          <w:sz w:val="24"/>
          <w:lang w:val="en-GB"/>
        </w:rPr>
        <w:t>.</w:t>
      </w:r>
      <w:r w:rsidRPr="00975089">
        <w:rPr>
          <w:sz w:val="24"/>
          <w:lang w:val="en-GB"/>
        </w:rPr>
        <w:t>, Skála J</w:t>
      </w:r>
      <w:r>
        <w:rPr>
          <w:sz w:val="24"/>
          <w:lang w:val="en-GB"/>
        </w:rPr>
        <w:t>.</w:t>
      </w:r>
      <w:r w:rsidRPr="00975089">
        <w:rPr>
          <w:sz w:val="24"/>
          <w:lang w:val="en-GB"/>
        </w:rPr>
        <w:t>, Čechmánková J</w:t>
      </w:r>
      <w:r>
        <w:rPr>
          <w:sz w:val="24"/>
          <w:lang w:val="en-GB"/>
        </w:rPr>
        <w:t>.</w:t>
      </w:r>
      <w:r w:rsidRPr="00975089">
        <w:rPr>
          <w:sz w:val="24"/>
          <w:lang w:val="en-GB"/>
        </w:rPr>
        <w:t>, Horváthová V</w:t>
      </w:r>
      <w:r>
        <w:rPr>
          <w:sz w:val="24"/>
          <w:lang w:val="en-GB"/>
        </w:rPr>
        <w:t>., Hladík J.</w:t>
      </w:r>
      <w:r w:rsidRPr="00975089">
        <w:rPr>
          <w:sz w:val="24"/>
          <w:lang w:val="en-GB"/>
        </w:rPr>
        <w:t xml:space="preserve"> (20</w:t>
      </w:r>
      <w:r>
        <w:rPr>
          <w:sz w:val="24"/>
          <w:lang w:val="en-GB"/>
        </w:rPr>
        <w:t>15</w:t>
      </w:r>
      <w:r w:rsidRPr="00975089">
        <w:rPr>
          <w:sz w:val="24"/>
          <w:lang w:val="en-GB"/>
        </w:rPr>
        <w:t>)</w:t>
      </w:r>
      <w:r>
        <w:rPr>
          <w:sz w:val="24"/>
          <w:lang w:val="en-GB"/>
        </w:rPr>
        <w:t>: Toxic elements and persistent organic pollutants derived from industrial emissions in agricultural soils of the Northern Czech Republic. Journal of Soils and Sediments, 15: 1813-1824.</w:t>
      </w:r>
    </w:p>
    <w:p w:rsidR="001F59C3" w:rsidRPr="002C7975" w:rsidRDefault="001F59C3" w:rsidP="001F59C3">
      <w:pPr>
        <w:pStyle w:val="Zkladntext"/>
        <w:rPr>
          <w:rFonts w:ascii="Times New Roman" w:eastAsia="Times New Roman" w:hAnsi="Times New Roman" w:cs="Times New Roman"/>
          <w:sz w:val="24"/>
          <w:szCs w:val="24"/>
          <w:lang w:val="en-GB" w:eastAsia="cs-CZ"/>
        </w:rPr>
      </w:pPr>
      <w:r w:rsidRPr="002C7975">
        <w:rPr>
          <w:rFonts w:ascii="Times New Roman" w:eastAsia="Times New Roman" w:hAnsi="Times New Roman" w:cs="Times New Roman"/>
          <w:sz w:val="24"/>
          <w:szCs w:val="24"/>
          <w:lang w:val="en-GB" w:eastAsia="cs-CZ"/>
        </w:rPr>
        <w:t xml:space="preserve">Vašíčková J., Kalábová T., </w:t>
      </w:r>
      <w:proofErr w:type="spellStart"/>
      <w:r w:rsidRPr="002C7975">
        <w:rPr>
          <w:rFonts w:ascii="Times New Roman" w:eastAsia="Times New Roman" w:hAnsi="Times New Roman" w:cs="Times New Roman"/>
          <w:sz w:val="24"/>
          <w:szCs w:val="24"/>
          <w:lang w:val="en-GB" w:eastAsia="cs-CZ"/>
        </w:rPr>
        <w:t>Komprdová</w:t>
      </w:r>
      <w:proofErr w:type="spellEnd"/>
      <w:r w:rsidRPr="002C7975">
        <w:rPr>
          <w:rFonts w:ascii="Times New Roman" w:eastAsia="Times New Roman" w:hAnsi="Times New Roman" w:cs="Times New Roman"/>
          <w:sz w:val="24"/>
          <w:szCs w:val="24"/>
          <w:lang w:val="en-GB" w:eastAsia="cs-CZ"/>
        </w:rPr>
        <w:t xml:space="preserve"> K., </w:t>
      </w:r>
      <w:proofErr w:type="spellStart"/>
      <w:r w:rsidRPr="002C7975">
        <w:rPr>
          <w:rFonts w:ascii="Times New Roman" w:eastAsia="Times New Roman" w:hAnsi="Times New Roman" w:cs="Times New Roman"/>
          <w:sz w:val="24"/>
          <w:szCs w:val="24"/>
          <w:lang w:val="en-GB" w:eastAsia="cs-CZ"/>
        </w:rPr>
        <w:t>Priessnitz</w:t>
      </w:r>
      <w:proofErr w:type="spellEnd"/>
      <w:r w:rsidRPr="002C7975">
        <w:rPr>
          <w:rFonts w:ascii="Times New Roman" w:eastAsia="Times New Roman" w:hAnsi="Times New Roman" w:cs="Times New Roman"/>
          <w:sz w:val="24"/>
          <w:szCs w:val="24"/>
          <w:lang w:val="en-GB" w:eastAsia="cs-CZ"/>
        </w:rPr>
        <w:t xml:space="preserve"> J., Dymák M., Lána J., </w:t>
      </w:r>
      <w:proofErr w:type="spellStart"/>
      <w:r w:rsidRPr="002C7975">
        <w:rPr>
          <w:rFonts w:ascii="Times New Roman" w:eastAsia="Times New Roman" w:hAnsi="Times New Roman" w:cs="Times New Roman"/>
          <w:sz w:val="24"/>
          <w:szCs w:val="24"/>
          <w:lang w:val="en-GB" w:eastAsia="cs-CZ"/>
        </w:rPr>
        <w:t>Škulvocá</w:t>
      </w:r>
      <w:proofErr w:type="spellEnd"/>
      <w:r w:rsidRPr="002C7975">
        <w:rPr>
          <w:rFonts w:ascii="Times New Roman" w:eastAsia="Times New Roman" w:hAnsi="Times New Roman" w:cs="Times New Roman"/>
          <w:sz w:val="24"/>
          <w:szCs w:val="24"/>
          <w:lang w:val="en-GB" w:eastAsia="cs-CZ"/>
        </w:rPr>
        <w:t xml:space="preserve"> L., Šindelářová L., Sáňka M., Čupr P., Vácha R., Hofman J. (2013): Comparison to approaches toward </w:t>
      </w:r>
      <w:proofErr w:type="spellStart"/>
      <w:r w:rsidRPr="002C7975">
        <w:rPr>
          <w:rFonts w:ascii="Times New Roman" w:eastAsia="Times New Roman" w:hAnsi="Times New Roman" w:cs="Times New Roman"/>
          <w:sz w:val="24"/>
          <w:szCs w:val="24"/>
          <w:lang w:val="en-GB" w:eastAsia="cs-CZ"/>
        </w:rPr>
        <w:t>ecotoxicity</w:t>
      </w:r>
      <w:proofErr w:type="spellEnd"/>
      <w:r w:rsidRPr="002C7975">
        <w:rPr>
          <w:rFonts w:ascii="Times New Roman" w:eastAsia="Times New Roman" w:hAnsi="Times New Roman" w:cs="Times New Roman"/>
          <w:sz w:val="24"/>
          <w:szCs w:val="24"/>
          <w:lang w:val="en-GB" w:eastAsia="cs-CZ"/>
        </w:rPr>
        <w:t xml:space="preserve"> evaluation for the application of dredged </w:t>
      </w:r>
      <w:proofErr w:type="spellStart"/>
      <w:r w:rsidRPr="002C7975">
        <w:rPr>
          <w:rFonts w:ascii="Times New Roman" w:eastAsia="Times New Roman" w:hAnsi="Times New Roman" w:cs="Times New Roman"/>
          <w:sz w:val="24"/>
          <w:szCs w:val="24"/>
          <w:lang w:val="en-GB" w:eastAsia="cs-CZ"/>
        </w:rPr>
        <w:t>seiments</w:t>
      </w:r>
      <w:proofErr w:type="spellEnd"/>
      <w:r w:rsidRPr="002C7975">
        <w:rPr>
          <w:rFonts w:ascii="Times New Roman" w:eastAsia="Times New Roman" w:hAnsi="Times New Roman" w:cs="Times New Roman"/>
          <w:sz w:val="24"/>
          <w:szCs w:val="24"/>
          <w:lang w:val="en-GB" w:eastAsia="cs-CZ"/>
        </w:rPr>
        <w:t xml:space="preserve"> on soil. Journal of Soils and Sediments, 13(5): 906-915.</w:t>
      </w:r>
    </w:p>
    <w:p w:rsidR="001F59C3" w:rsidRPr="00C73332" w:rsidRDefault="001F59C3" w:rsidP="001F59C3">
      <w:pPr>
        <w:spacing w:after="120"/>
        <w:rPr>
          <w:rFonts w:ascii="Times New Roman" w:eastAsia="Times New Roman" w:hAnsi="Times New Roman" w:cs="Times New Roman"/>
          <w:bCs/>
          <w:sz w:val="24"/>
          <w:szCs w:val="24"/>
          <w:lang w:eastAsia="cs-CZ"/>
        </w:rPr>
      </w:pPr>
      <w:proofErr w:type="spellStart"/>
      <w:r w:rsidRPr="00C73332">
        <w:rPr>
          <w:rFonts w:ascii="Times New Roman" w:eastAsia="Times New Roman" w:hAnsi="Times New Roman" w:cs="Times New Roman"/>
          <w:bCs/>
          <w:sz w:val="24"/>
          <w:szCs w:val="24"/>
          <w:lang w:eastAsia="cs-CZ"/>
        </w:rPr>
        <w:t>Wang</w:t>
      </w:r>
      <w:proofErr w:type="spellEnd"/>
      <w:r w:rsidRPr="00C73332">
        <w:rPr>
          <w:rFonts w:ascii="Times New Roman" w:eastAsia="Times New Roman" w:hAnsi="Times New Roman" w:cs="Times New Roman"/>
          <w:bCs/>
          <w:sz w:val="24"/>
          <w:szCs w:val="24"/>
          <w:lang w:eastAsia="cs-CZ"/>
        </w:rPr>
        <w:t xml:space="preserve"> M. C., </w:t>
      </w:r>
      <w:proofErr w:type="spellStart"/>
      <w:r w:rsidRPr="00C73332">
        <w:rPr>
          <w:rFonts w:ascii="Times New Roman" w:eastAsia="Times New Roman" w:hAnsi="Times New Roman" w:cs="Times New Roman"/>
          <w:bCs/>
          <w:sz w:val="24"/>
          <w:szCs w:val="24"/>
          <w:lang w:eastAsia="cs-CZ"/>
        </w:rPr>
        <w:t>Huang</w:t>
      </w:r>
      <w:proofErr w:type="spellEnd"/>
      <w:r w:rsidRPr="00C73332">
        <w:rPr>
          <w:rFonts w:ascii="Times New Roman" w:eastAsia="Times New Roman" w:hAnsi="Times New Roman" w:cs="Times New Roman"/>
          <w:bCs/>
          <w:sz w:val="24"/>
          <w:szCs w:val="24"/>
          <w:lang w:eastAsia="cs-CZ"/>
        </w:rPr>
        <w:t xml:space="preserve"> C. C. </w:t>
      </w:r>
      <w:r>
        <w:rPr>
          <w:rFonts w:ascii="Times New Roman" w:eastAsia="Times New Roman" w:hAnsi="Times New Roman" w:cs="Times New Roman"/>
          <w:bCs/>
          <w:sz w:val="24"/>
          <w:szCs w:val="24"/>
          <w:lang w:eastAsia="cs-CZ"/>
        </w:rPr>
        <w:t>(</w:t>
      </w:r>
      <w:r w:rsidRPr="00C73332">
        <w:rPr>
          <w:rFonts w:ascii="Times New Roman" w:eastAsia="Times New Roman" w:hAnsi="Times New Roman" w:cs="Times New Roman"/>
          <w:bCs/>
          <w:sz w:val="24"/>
          <w:szCs w:val="24"/>
          <w:lang w:eastAsia="cs-CZ"/>
        </w:rPr>
        <w:t>1999</w:t>
      </w:r>
      <w:r>
        <w:rPr>
          <w:rFonts w:ascii="Times New Roman" w:eastAsia="Times New Roman" w:hAnsi="Times New Roman" w:cs="Times New Roman"/>
          <w:bCs/>
          <w:sz w:val="24"/>
          <w:szCs w:val="24"/>
          <w:lang w:eastAsia="cs-CZ"/>
        </w:rPr>
        <w:t>)</w:t>
      </w:r>
      <w:r w:rsidRPr="00C73332">
        <w:rPr>
          <w:rFonts w:ascii="Times New Roman" w:eastAsia="Times New Roman" w:hAnsi="Times New Roman" w:cs="Times New Roman"/>
          <w:bCs/>
          <w:sz w:val="24"/>
          <w:szCs w:val="24"/>
          <w:lang w:eastAsia="cs-CZ"/>
        </w:rPr>
        <w:t xml:space="preserve">: </w:t>
      </w:r>
      <w:proofErr w:type="spellStart"/>
      <w:r w:rsidRPr="00C73332">
        <w:rPr>
          <w:rFonts w:ascii="Times New Roman" w:eastAsia="Times New Roman" w:hAnsi="Times New Roman" w:cs="Times New Roman"/>
          <w:bCs/>
          <w:sz w:val="24"/>
          <w:szCs w:val="24"/>
          <w:lang w:eastAsia="cs-CZ"/>
        </w:rPr>
        <w:t>Characteristics</w:t>
      </w:r>
      <w:proofErr w:type="spellEnd"/>
      <w:r w:rsidRPr="00C73332">
        <w:rPr>
          <w:rFonts w:ascii="Times New Roman" w:eastAsia="Times New Roman" w:hAnsi="Times New Roman" w:cs="Times New Roman"/>
          <w:bCs/>
          <w:sz w:val="24"/>
          <w:szCs w:val="24"/>
          <w:lang w:eastAsia="cs-CZ"/>
        </w:rPr>
        <w:t xml:space="preserve"> </w:t>
      </w:r>
      <w:proofErr w:type="spellStart"/>
      <w:r w:rsidRPr="00C73332">
        <w:rPr>
          <w:rFonts w:ascii="Times New Roman" w:eastAsia="Times New Roman" w:hAnsi="Times New Roman" w:cs="Times New Roman"/>
          <w:bCs/>
          <w:sz w:val="24"/>
          <w:szCs w:val="24"/>
          <w:lang w:eastAsia="cs-CZ"/>
        </w:rPr>
        <w:t>of</w:t>
      </w:r>
      <w:proofErr w:type="spellEnd"/>
      <w:r w:rsidRPr="00C73332">
        <w:rPr>
          <w:rFonts w:ascii="Times New Roman" w:eastAsia="Times New Roman" w:hAnsi="Times New Roman" w:cs="Times New Roman"/>
          <w:bCs/>
          <w:sz w:val="24"/>
          <w:szCs w:val="24"/>
          <w:lang w:eastAsia="cs-CZ"/>
        </w:rPr>
        <w:t xml:space="preserve"> </w:t>
      </w:r>
      <w:proofErr w:type="spellStart"/>
      <w:r w:rsidRPr="00C73332">
        <w:rPr>
          <w:rFonts w:ascii="Times New Roman" w:eastAsia="Times New Roman" w:hAnsi="Times New Roman" w:cs="Times New Roman"/>
          <w:bCs/>
          <w:sz w:val="24"/>
          <w:szCs w:val="24"/>
          <w:lang w:eastAsia="cs-CZ"/>
        </w:rPr>
        <w:t>compost-derived</w:t>
      </w:r>
      <w:proofErr w:type="spellEnd"/>
      <w:r w:rsidRPr="00C73332">
        <w:rPr>
          <w:rFonts w:ascii="Times New Roman" w:eastAsia="Times New Roman" w:hAnsi="Times New Roman" w:cs="Times New Roman"/>
          <w:bCs/>
          <w:sz w:val="24"/>
          <w:szCs w:val="24"/>
          <w:lang w:eastAsia="cs-CZ"/>
        </w:rPr>
        <w:t xml:space="preserve"> </w:t>
      </w:r>
      <w:proofErr w:type="spellStart"/>
      <w:r w:rsidRPr="00C73332">
        <w:rPr>
          <w:rFonts w:ascii="Times New Roman" w:eastAsia="Times New Roman" w:hAnsi="Times New Roman" w:cs="Times New Roman"/>
          <w:bCs/>
          <w:sz w:val="24"/>
          <w:szCs w:val="24"/>
          <w:lang w:eastAsia="cs-CZ"/>
        </w:rPr>
        <w:t>humic</w:t>
      </w:r>
      <w:proofErr w:type="spellEnd"/>
      <w:r w:rsidRPr="00C73332">
        <w:rPr>
          <w:rFonts w:ascii="Times New Roman" w:eastAsia="Times New Roman" w:hAnsi="Times New Roman" w:cs="Times New Roman"/>
          <w:bCs/>
          <w:sz w:val="24"/>
          <w:szCs w:val="24"/>
          <w:lang w:eastAsia="cs-CZ"/>
        </w:rPr>
        <w:t xml:space="preserve"> </w:t>
      </w:r>
      <w:proofErr w:type="spellStart"/>
      <w:r w:rsidRPr="00C73332">
        <w:rPr>
          <w:rFonts w:ascii="Times New Roman" w:eastAsia="Times New Roman" w:hAnsi="Times New Roman" w:cs="Times New Roman"/>
          <w:bCs/>
          <w:sz w:val="24"/>
          <w:szCs w:val="24"/>
          <w:lang w:eastAsia="cs-CZ"/>
        </w:rPr>
        <w:t>substances</w:t>
      </w:r>
      <w:proofErr w:type="spellEnd"/>
      <w:r w:rsidRPr="00C73332">
        <w:rPr>
          <w:rFonts w:ascii="Times New Roman" w:eastAsia="Times New Roman" w:hAnsi="Times New Roman" w:cs="Times New Roman"/>
          <w:bCs/>
          <w:sz w:val="24"/>
          <w:szCs w:val="24"/>
          <w:lang w:eastAsia="cs-CZ"/>
        </w:rPr>
        <w:t xml:space="preserve"> and </w:t>
      </w:r>
      <w:proofErr w:type="spellStart"/>
      <w:r w:rsidRPr="00C73332">
        <w:rPr>
          <w:rFonts w:ascii="Times New Roman" w:eastAsia="Times New Roman" w:hAnsi="Times New Roman" w:cs="Times New Roman"/>
          <w:bCs/>
          <w:sz w:val="24"/>
          <w:szCs w:val="24"/>
          <w:lang w:eastAsia="cs-CZ"/>
        </w:rPr>
        <w:t>their</w:t>
      </w:r>
      <w:proofErr w:type="spellEnd"/>
      <w:r w:rsidRPr="00C73332">
        <w:rPr>
          <w:rFonts w:ascii="Times New Roman" w:eastAsia="Times New Roman" w:hAnsi="Times New Roman" w:cs="Times New Roman"/>
          <w:bCs/>
          <w:sz w:val="24"/>
          <w:szCs w:val="24"/>
          <w:lang w:eastAsia="cs-CZ"/>
        </w:rPr>
        <w:t xml:space="preserve"> </w:t>
      </w:r>
      <w:proofErr w:type="spellStart"/>
      <w:r w:rsidRPr="00C73332">
        <w:rPr>
          <w:rFonts w:ascii="Times New Roman" w:eastAsia="Times New Roman" w:hAnsi="Times New Roman" w:cs="Times New Roman"/>
          <w:bCs/>
          <w:sz w:val="24"/>
          <w:szCs w:val="24"/>
          <w:lang w:eastAsia="cs-CZ"/>
        </w:rPr>
        <w:t>reactions</w:t>
      </w:r>
      <w:proofErr w:type="spellEnd"/>
      <w:r w:rsidRPr="00C73332">
        <w:rPr>
          <w:rFonts w:ascii="Times New Roman" w:eastAsia="Times New Roman" w:hAnsi="Times New Roman" w:cs="Times New Roman"/>
          <w:bCs/>
          <w:sz w:val="24"/>
          <w:szCs w:val="24"/>
          <w:lang w:eastAsia="cs-CZ"/>
        </w:rPr>
        <w:t xml:space="preserve"> </w:t>
      </w:r>
      <w:proofErr w:type="spellStart"/>
      <w:r w:rsidRPr="00C73332">
        <w:rPr>
          <w:rFonts w:ascii="Times New Roman" w:eastAsia="Times New Roman" w:hAnsi="Times New Roman" w:cs="Times New Roman"/>
          <w:bCs/>
          <w:sz w:val="24"/>
          <w:szCs w:val="24"/>
          <w:lang w:eastAsia="cs-CZ"/>
        </w:rPr>
        <w:t>with</w:t>
      </w:r>
      <w:proofErr w:type="spellEnd"/>
      <w:r w:rsidRPr="00C73332">
        <w:rPr>
          <w:rFonts w:ascii="Times New Roman" w:eastAsia="Times New Roman" w:hAnsi="Times New Roman" w:cs="Times New Roman"/>
          <w:bCs/>
          <w:sz w:val="24"/>
          <w:szCs w:val="24"/>
          <w:lang w:eastAsia="cs-CZ"/>
        </w:rPr>
        <w:t xml:space="preserve"> </w:t>
      </w:r>
      <w:proofErr w:type="spellStart"/>
      <w:r w:rsidRPr="00C73332">
        <w:rPr>
          <w:rFonts w:ascii="Times New Roman" w:eastAsia="Times New Roman" w:hAnsi="Times New Roman" w:cs="Times New Roman"/>
          <w:bCs/>
          <w:sz w:val="24"/>
          <w:szCs w:val="24"/>
          <w:lang w:eastAsia="cs-CZ"/>
        </w:rPr>
        <w:t>Pb</w:t>
      </w:r>
      <w:proofErr w:type="spellEnd"/>
      <w:r w:rsidRPr="00C73332">
        <w:rPr>
          <w:rFonts w:ascii="Times New Roman" w:eastAsia="Times New Roman" w:hAnsi="Times New Roman" w:cs="Times New Roman"/>
          <w:bCs/>
          <w:sz w:val="24"/>
          <w:szCs w:val="24"/>
          <w:lang w:eastAsia="cs-CZ"/>
        </w:rPr>
        <w:t xml:space="preserve">, </w:t>
      </w:r>
      <w:proofErr w:type="spellStart"/>
      <w:r w:rsidRPr="00C73332">
        <w:rPr>
          <w:rFonts w:ascii="Times New Roman" w:eastAsia="Times New Roman" w:hAnsi="Times New Roman" w:cs="Times New Roman"/>
          <w:bCs/>
          <w:sz w:val="24"/>
          <w:szCs w:val="24"/>
          <w:lang w:eastAsia="cs-CZ"/>
        </w:rPr>
        <w:t>Cu</w:t>
      </w:r>
      <w:proofErr w:type="spellEnd"/>
      <w:r w:rsidRPr="00C73332">
        <w:rPr>
          <w:rFonts w:ascii="Times New Roman" w:eastAsia="Times New Roman" w:hAnsi="Times New Roman" w:cs="Times New Roman"/>
          <w:bCs/>
          <w:sz w:val="24"/>
          <w:szCs w:val="24"/>
          <w:lang w:eastAsia="cs-CZ"/>
        </w:rPr>
        <w:t xml:space="preserve">, Cd and Zn. 5th International </w:t>
      </w:r>
      <w:proofErr w:type="spellStart"/>
      <w:r w:rsidRPr="00C73332">
        <w:rPr>
          <w:rFonts w:ascii="Times New Roman" w:eastAsia="Times New Roman" w:hAnsi="Times New Roman" w:cs="Times New Roman"/>
          <w:bCs/>
          <w:sz w:val="24"/>
          <w:szCs w:val="24"/>
          <w:lang w:eastAsia="cs-CZ"/>
        </w:rPr>
        <w:t>Conference</w:t>
      </w:r>
      <w:proofErr w:type="spellEnd"/>
      <w:r w:rsidRPr="00C73332">
        <w:rPr>
          <w:rFonts w:ascii="Times New Roman" w:eastAsia="Times New Roman" w:hAnsi="Times New Roman" w:cs="Times New Roman"/>
          <w:bCs/>
          <w:sz w:val="24"/>
          <w:szCs w:val="24"/>
          <w:lang w:eastAsia="cs-CZ"/>
        </w:rPr>
        <w:t xml:space="preserve"> on </w:t>
      </w:r>
      <w:proofErr w:type="spellStart"/>
      <w:r w:rsidRPr="00C73332">
        <w:rPr>
          <w:rFonts w:ascii="Times New Roman" w:eastAsia="Times New Roman" w:hAnsi="Times New Roman" w:cs="Times New Roman"/>
          <w:bCs/>
          <w:sz w:val="24"/>
          <w:szCs w:val="24"/>
          <w:lang w:eastAsia="cs-CZ"/>
        </w:rPr>
        <w:t>the</w:t>
      </w:r>
      <w:proofErr w:type="spellEnd"/>
      <w:r w:rsidRPr="00C73332">
        <w:rPr>
          <w:rFonts w:ascii="Times New Roman" w:eastAsia="Times New Roman" w:hAnsi="Times New Roman" w:cs="Times New Roman"/>
          <w:bCs/>
          <w:sz w:val="24"/>
          <w:szCs w:val="24"/>
          <w:lang w:eastAsia="cs-CZ"/>
        </w:rPr>
        <w:t xml:space="preserve"> </w:t>
      </w:r>
      <w:proofErr w:type="spellStart"/>
      <w:r w:rsidRPr="00C73332">
        <w:rPr>
          <w:rFonts w:ascii="Times New Roman" w:eastAsia="Times New Roman" w:hAnsi="Times New Roman" w:cs="Times New Roman"/>
          <w:bCs/>
          <w:sz w:val="24"/>
          <w:szCs w:val="24"/>
          <w:lang w:eastAsia="cs-CZ"/>
        </w:rPr>
        <w:t>Biogeochemistry</w:t>
      </w:r>
      <w:proofErr w:type="spellEnd"/>
      <w:r w:rsidRPr="00C73332">
        <w:rPr>
          <w:rFonts w:ascii="Times New Roman" w:eastAsia="Times New Roman" w:hAnsi="Times New Roman" w:cs="Times New Roman"/>
          <w:bCs/>
          <w:sz w:val="24"/>
          <w:szCs w:val="24"/>
          <w:lang w:eastAsia="cs-CZ"/>
        </w:rPr>
        <w:t xml:space="preserve"> </w:t>
      </w:r>
      <w:proofErr w:type="spellStart"/>
      <w:r w:rsidRPr="00C73332">
        <w:rPr>
          <w:rFonts w:ascii="Times New Roman" w:eastAsia="Times New Roman" w:hAnsi="Times New Roman" w:cs="Times New Roman"/>
          <w:bCs/>
          <w:sz w:val="24"/>
          <w:szCs w:val="24"/>
          <w:lang w:eastAsia="cs-CZ"/>
        </w:rPr>
        <w:t>of</w:t>
      </w:r>
      <w:proofErr w:type="spellEnd"/>
      <w:r w:rsidRPr="00C73332">
        <w:rPr>
          <w:rFonts w:ascii="Times New Roman" w:eastAsia="Times New Roman" w:hAnsi="Times New Roman" w:cs="Times New Roman"/>
          <w:bCs/>
          <w:sz w:val="24"/>
          <w:szCs w:val="24"/>
          <w:lang w:eastAsia="cs-CZ"/>
        </w:rPr>
        <w:t xml:space="preserve"> </w:t>
      </w:r>
      <w:proofErr w:type="spellStart"/>
      <w:r w:rsidRPr="00C73332">
        <w:rPr>
          <w:rFonts w:ascii="Times New Roman" w:eastAsia="Times New Roman" w:hAnsi="Times New Roman" w:cs="Times New Roman"/>
          <w:bCs/>
          <w:sz w:val="24"/>
          <w:szCs w:val="24"/>
          <w:lang w:eastAsia="cs-CZ"/>
        </w:rPr>
        <w:t>Trace</w:t>
      </w:r>
      <w:proofErr w:type="spellEnd"/>
      <w:r w:rsidRPr="00C73332">
        <w:rPr>
          <w:rFonts w:ascii="Times New Roman" w:eastAsia="Times New Roman" w:hAnsi="Times New Roman" w:cs="Times New Roman"/>
          <w:bCs/>
          <w:sz w:val="24"/>
          <w:szCs w:val="24"/>
          <w:lang w:eastAsia="cs-CZ"/>
        </w:rPr>
        <w:t xml:space="preserve"> </w:t>
      </w:r>
      <w:proofErr w:type="spellStart"/>
      <w:r w:rsidRPr="00C73332">
        <w:rPr>
          <w:rFonts w:ascii="Times New Roman" w:eastAsia="Times New Roman" w:hAnsi="Times New Roman" w:cs="Times New Roman"/>
          <w:bCs/>
          <w:sz w:val="24"/>
          <w:szCs w:val="24"/>
          <w:lang w:eastAsia="cs-CZ"/>
        </w:rPr>
        <w:t>Elements</w:t>
      </w:r>
      <w:proofErr w:type="spellEnd"/>
      <w:r w:rsidRPr="00C73332">
        <w:rPr>
          <w:rFonts w:ascii="Times New Roman" w:eastAsia="Times New Roman" w:hAnsi="Times New Roman" w:cs="Times New Roman"/>
          <w:bCs/>
          <w:sz w:val="24"/>
          <w:szCs w:val="24"/>
          <w:lang w:eastAsia="cs-CZ"/>
        </w:rPr>
        <w:t xml:space="preserve">, </w:t>
      </w:r>
      <w:proofErr w:type="gramStart"/>
      <w:r w:rsidRPr="00C73332">
        <w:rPr>
          <w:rFonts w:ascii="Times New Roman" w:eastAsia="Times New Roman" w:hAnsi="Times New Roman" w:cs="Times New Roman"/>
          <w:bCs/>
          <w:sz w:val="24"/>
          <w:szCs w:val="24"/>
          <w:lang w:eastAsia="cs-CZ"/>
        </w:rPr>
        <w:t>11.-15</w:t>
      </w:r>
      <w:proofErr w:type="gramEnd"/>
      <w:r w:rsidRPr="00C73332">
        <w:rPr>
          <w:rFonts w:ascii="Times New Roman" w:eastAsia="Times New Roman" w:hAnsi="Times New Roman" w:cs="Times New Roman"/>
          <w:bCs/>
          <w:sz w:val="24"/>
          <w:szCs w:val="24"/>
          <w:lang w:eastAsia="cs-CZ"/>
        </w:rPr>
        <w:t xml:space="preserve">. July, </w:t>
      </w:r>
      <w:proofErr w:type="spellStart"/>
      <w:r w:rsidRPr="00C73332">
        <w:rPr>
          <w:rFonts w:ascii="Times New Roman" w:eastAsia="Times New Roman" w:hAnsi="Times New Roman" w:cs="Times New Roman"/>
          <w:bCs/>
          <w:sz w:val="24"/>
          <w:szCs w:val="24"/>
          <w:lang w:eastAsia="cs-CZ"/>
        </w:rPr>
        <w:t>Vienna</w:t>
      </w:r>
      <w:proofErr w:type="spellEnd"/>
      <w:r w:rsidRPr="00C73332">
        <w:rPr>
          <w:rFonts w:ascii="Times New Roman" w:eastAsia="Times New Roman" w:hAnsi="Times New Roman" w:cs="Times New Roman"/>
          <w:bCs/>
          <w:sz w:val="24"/>
          <w:szCs w:val="24"/>
          <w:lang w:eastAsia="cs-CZ"/>
        </w:rPr>
        <w:t xml:space="preserve">, </w:t>
      </w:r>
      <w:proofErr w:type="spellStart"/>
      <w:r w:rsidRPr="00C73332">
        <w:rPr>
          <w:rFonts w:ascii="Times New Roman" w:eastAsia="Times New Roman" w:hAnsi="Times New Roman" w:cs="Times New Roman"/>
          <w:bCs/>
          <w:sz w:val="24"/>
          <w:szCs w:val="24"/>
          <w:lang w:eastAsia="cs-CZ"/>
        </w:rPr>
        <w:t>Austria</w:t>
      </w:r>
      <w:proofErr w:type="spellEnd"/>
      <w:r w:rsidRPr="00C73332">
        <w:rPr>
          <w:rFonts w:ascii="Times New Roman" w:eastAsia="Times New Roman" w:hAnsi="Times New Roman" w:cs="Times New Roman"/>
          <w:bCs/>
          <w:sz w:val="24"/>
          <w:szCs w:val="24"/>
          <w:lang w:eastAsia="cs-CZ"/>
        </w:rPr>
        <w:t xml:space="preserve">,  </w:t>
      </w:r>
      <w:proofErr w:type="spellStart"/>
      <w:r w:rsidRPr="00C73332">
        <w:rPr>
          <w:rFonts w:ascii="Times New Roman" w:eastAsia="Times New Roman" w:hAnsi="Times New Roman" w:cs="Times New Roman"/>
          <w:bCs/>
          <w:sz w:val="24"/>
          <w:szCs w:val="24"/>
          <w:lang w:eastAsia="cs-CZ"/>
        </w:rPr>
        <w:t>Proceedings</w:t>
      </w:r>
      <w:proofErr w:type="spellEnd"/>
      <w:r w:rsidRPr="00C73332">
        <w:rPr>
          <w:rFonts w:ascii="Times New Roman" w:eastAsia="Times New Roman" w:hAnsi="Times New Roman" w:cs="Times New Roman"/>
          <w:bCs/>
          <w:sz w:val="24"/>
          <w:szCs w:val="24"/>
          <w:lang w:eastAsia="cs-CZ"/>
        </w:rPr>
        <w:t xml:space="preserve"> </w:t>
      </w:r>
      <w:proofErr w:type="spellStart"/>
      <w:r w:rsidRPr="00C73332">
        <w:rPr>
          <w:rFonts w:ascii="Times New Roman" w:eastAsia="Times New Roman" w:hAnsi="Times New Roman" w:cs="Times New Roman"/>
          <w:bCs/>
          <w:sz w:val="24"/>
          <w:szCs w:val="24"/>
          <w:lang w:eastAsia="cs-CZ"/>
        </w:rPr>
        <w:t>of</w:t>
      </w:r>
      <w:proofErr w:type="spellEnd"/>
      <w:r w:rsidRPr="00C73332">
        <w:rPr>
          <w:rFonts w:ascii="Times New Roman" w:eastAsia="Times New Roman" w:hAnsi="Times New Roman" w:cs="Times New Roman"/>
          <w:bCs/>
          <w:sz w:val="24"/>
          <w:szCs w:val="24"/>
          <w:lang w:eastAsia="cs-CZ"/>
        </w:rPr>
        <w:t xml:space="preserve"> </w:t>
      </w:r>
      <w:proofErr w:type="spellStart"/>
      <w:r w:rsidRPr="00C73332">
        <w:rPr>
          <w:rFonts w:ascii="Times New Roman" w:eastAsia="Times New Roman" w:hAnsi="Times New Roman" w:cs="Times New Roman"/>
          <w:bCs/>
          <w:sz w:val="24"/>
          <w:szCs w:val="24"/>
          <w:lang w:eastAsia="cs-CZ"/>
        </w:rPr>
        <w:t>extended</w:t>
      </w:r>
      <w:proofErr w:type="spellEnd"/>
      <w:r w:rsidRPr="00C73332">
        <w:rPr>
          <w:rFonts w:ascii="Times New Roman" w:eastAsia="Times New Roman" w:hAnsi="Times New Roman" w:cs="Times New Roman"/>
          <w:bCs/>
          <w:sz w:val="24"/>
          <w:szCs w:val="24"/>
          <w:lang w:eastAsia="cs-CZ"/>
        </w:rPr>
        <w:t xml:space="preserve"> </w:t>
      </w:r>
      <w:proofErr w:type="spellStart"/>
      <w:r w:rsidRPr="00C73332">
        <w:rPr>
          <w:rFonts w:ascii="Times New Roman" w:eastAsia="Times New Roman" w:hAnsi="Times New Roman" w:cs="Times New Roman"/>
          <w:bCs/>
          <w:sz w:val="24"/>
          <w:szCs w:val="24"/>
          <w:lang w:eastAsia="cs-CZ"/>
        </w:rPr>
        <w:t>abstracts</w:t>
      </w:r>
      <w:proofErr w:type="spellEnd"/>
      <w:r w:rsidRPr="00C73332">
        <w:rPr>
          <w:rFonts w:ascii="Times New Roman" w:eastAsia="Times New Roman" w:hAnsi="Times New Roman" w:cs="Times New Roman"/>
          <w:bCs/>
          <w:sz w:val="24"/>
          <w:szCs w:val="24"/>
          <w:lang w:eastAsia="cs-CZ"/>
        </w:rPr>
        <w:t>, 380-381.</w:t>
      </w:r>
    </w:p>
    <w:p w:rsidR="001F59C3" w:rsidRPr="007A7F73" w:rsidRDefault="001F59C3" w:rsidP="001F59C3">
      <w:pPr>
        <w:spacing w:after="120"/>
        <w:rPr>
          <w:rFonts w:ascii="Times New Roman" w:eastAsia="Times New Roman" w:hAnsi="Times New Roman" w:cs="Times New Roman"/>
          <w:bCs/>
          <w:sz w:val="24"/>
          <w:szCs w:val="24"/>
          <w:lang w:eastAsia="cs-CZ"/>
        </w:rPr>
      </w:pPr>
      <w:proofErr w:type="spellStart"/>
      <w:r w:rsidRPr="002F5AA4">
        <w:rPr>
          <w:rFonts w:ascii="Times New Roman" w:eastAsia="Times New Roman" w:hAnsi="Times New Roman" w:cs="Times New Roman"/>
          <w:bCs/>
          <w:sz w:val="24"/>
          <w:szCs w:val="24"/>
          <w:lang w:eastAsia="cs-CZ"/>
        </w:rPr>
        <w:t>Wolterbeek</w:t>
      </w:r>
      <w:proofErr w:type="spellEnd"/>
      <w:r w:rsidRPr="002F5AA4">
        <w:rPr>
          <w:rFonts w:ascii="Times New Roman" w:eastAsia="Times New Roman" w:hAnsi="Times New Roman" w:cs="Times New Roman"/>
          <w:bCs/>
          <w:sz w:val="24"/>
          <w:szCs w:val="24"/>
          <w:lang w:eastAsia="cs-CZ"/>
        </w:rPr>
        <w:t xml:space="preserve"> H. T. </w:t>
      </w:r>
      <w:r>
        <w:rPr>
          <w:rFonts w:ascii="Times New Roman" w:eastAsia="Times New Roman" w:hAnsi="Times New Roman" w:cs="Times New Roman"/>
          <w:bCs/>
          <w:sz w:val="24"/>
          <w:szCs w:val="24"/>
          <w:lang w:eastAsia="cs-CZ"/>
        </w:rPr>
        <w:t>(</w:t>
      </w:r>
      <w:r w:rsidRPr="002F5AA4">
        <w:rPr>
          <w:rFonts w:ascii="Times New Roman" w:eastAsia="Times New Roman" w:hAnsi="Times New Roman" w:cs="Times New Roman"/>
          <w:bCs/>
          <w:sz w:val="24"/>
          <w:szCs w:val="24"/>
          <w:lang w:eastAsia="cs-CZ"/>
        </w:rPr>
        <w:t>1987</w:t>
      </w:r>
      <w:r>
        <w:rPr>
          <w:rFonts w:ascii="Times New Roman" w:eastAsia="Times New Roman" w:hAnsi="Times New Roman" w:cs="Times New Roman"/>
          <w:bCs/>
          <w:sz w:val="24"/>
          <w:szCs w:val="24"/>
          <w:lang w:eastAsia="cs-CZ"/>
        </w:rPr>
        <w:t>)</w:t>
      </w:r>
      <w:r w:rsidRPr="002F5AA4">
        <w:rPr>
          <w:rFonts w:ascii="Times New Roman" w:eastAsia="Times New Roman" w:hAnsi="Times New Roman" w:cs="Times New Roman"/>
          <w:bCs/>
          <w:sz w:val="24"/>
          <w:szCs w:val="24"/>
          <w:lang w:eastAsia="cs-CZ"/>
        </w:rPr>
        <w:t xml:space="preserve">: </w:t>
      </w:r>
      <w:proofErr w:type="spellStart"/>
      <w:r w:rsidRPr="002F5AA4">
        <w:rPr>
          <w:rFonts w:ascii="Times New Roman" w:eastAsia="Times New Roman" w:hAnsi="Times New Roman" w:cs="Times New Roman"/>
          <w:bCs/>
          <w:sz w:val="24"/>
          <w:szCs w:val="24"/>
          <w:lang w:eastAsia="cs-CZ"/>
        </w:rPr>
        <w:t>Cation</w:t>
      </w:r>
      <w:proofErr w:type="spellEnd"/>
      <w:r w:rsidRPr="002F5AA4">
        <w:rPr>
          <w:rFonts w:ascii="Times New Roman" w:eastAsia="Times New Roman" w:hAnsi="Times New Roman" w:cs="Times New Roman"/>
          <w:bCs/>
          <w:sz w:val="24"/>
          <w:szCs w:val="24"/>
          <w:lang w:eastAsia="cs-CZ"/>
        </w:rPr>
        <w:t xml:space="preserve"> </w:t>
      </w:r>
      <w:proofErr w:type="spellStart"/>
      <w:r w:rsidRPr="002F5AA4">
        <w:rPr>
          <w:rFonts w:ascii="Times New Roman" w:eastAsia="Times New Roman" w:hAnsi="Times New Roman" w:cs="Times New Roman"/>
          <w:bCs/>
          <w:sz w:val="24"/>
          <w:szCs w:val="24"/>
          <w:lang w:eastAsia="cs-CZ"/>
        </w:rPr>
        <w:t>exhange</w:t>
      </w:r>
      <w:proofErr w:type="spellEnd"/>
      <w:r w:rsidRPr="002F5AA4">
        <w:rPr>
          <w:rFonts w:ascii="Times New Roman" w:eastAsia="Times New Roman" w:hAnsi="Times New Roman" w:cs="Times New Roman"/>
          <w:bCs/>
          <w:sz w:val="24"/>
          <w:szCs w:val="24"/>
          <w:lang w:eastAsia="cs-CZ"/>
        </w:rPr>
        <w:t xml:space="preserve"> in </w:t>
      </w:r>
      <w:proofErr w:type="spellStart"/>
      <w:r w:rsidRPr="002F5AA4">
        <w:rPr>
          <w:rFonts w:ascii="Times New Roman" w:eastAsia="Times New Roman" w:hAnsi="Times New Roman" w:cs="Times New Roman"/>
          <w:bCs/>
          <w:sz w:val="24"/>
          <w:szCs w:val="24"/>
          <w:lang w:eastAsia="cs-CZ"/>
        </w:rPr>
        <w:t>isolated</w:t>
      </w:r>
      <w:proofErr w:type="spellEnd"/>
      <w:r w:rsidRPr="002F5AA4">
        <w:rPr>
          <w:rFonts w:ascii="Times New Roman" w:eastAsia="Times New Roman" w:hAnsi="Times New Roman" w:cs="Times New Roman"/>
          <w:bCs/>
          <w:sz w:val="24"/>
          <w:szCs w:val="24"/>
          <w:lang w:eastAsia="cs-CZ"/>
        </w:rPr>
        <w:t xml:space="preserve"> </w:t>
      </w:r>
      <w:proofErr w:type="spellStart"/>
      <w:r w:rsidRPr="002F5AA4">
        <w:rPr>
          <w:rFonts w:ascii="Times New Roman" w:eastAsia="Times New Roman" w:hAnsi="Times New Roman" w:cs="Times New Roman"/>
          <w:bCs/>
          <w:sz w:val="24"/>
          <w:szCs w:val="24"/>
          <w:lang w:eastAsia="cs-CZ"/>
        </w:rPr>
        <w:t>xylem</w:t>
      </w:r>
      <w:proofErr w:type="spellEnd"/>
      <w:r w:rsidRPr="002F5AA4">
        <w:rPr>
          <w:rFonts w:ascii="Times New Roman" w:eastAsia="Times New Roman" w:hAnsi="Times New Roman" w:cs="Times New Roman"/>
          <w:bCs/>
          <w:sz w:val="24"/>
          <w:szCs w:val="24"/>
          <w:lang w:eastAsia="cs-CZ"/>
        </w:rPr>
        <w:t xml:space="preserve"> cell </w:t>
      </w:r>
      <w:proofErr w:type="spellStart"/>
      <w:r w:rsidRPr="002F5AA4">
        <w:rPr>
          <w:rFonts w:ascii="Times New Roman" w:eastAsia="Times New Roman" w:hAnsi="Times New Roman" w:cs="Times New Roman"/>
          <w:bCs/>
          <w:sz w:val="24"/>
          <w:szCs w:val="24"/>
          <w:lang w:eastAsia="cs-CZ"/>
        </w:rPr>
        <w:t>walls</w:t>
      </w:r>
      <w:proofErr w:type="spellEnd"/>
      <w:r w:rsidRPr="002F5AA4">
        <w:rPr>
          <w:rFonts w:ascii="Times New Roman" w:eastAsia="Times New Roman" w:hAnsi="Times New Roman" w:cs="Times New Roman"/>
          <w:bCs/>
          <w:sz w:val="24"/>
          <w:szCs w:val="24"/>
          <w:lang w:eastAsia="cs-CZ"/>
        </w:rPr>
        <w:t xml:space="preserve"> </w:t>
      </w:r>
      <w:proofErr w:type="spellStart"/>
      <w:r w:rsidRPr="002F5AA4">
        <w:rPr>
          <w:rFonts w:ascii="Times New Roman" w:eastAsia="Times New Roman" w:hAnsi="Times New Roman" w:cs="Times New Roman"/>
          <w:bCs/>
          <w:sz w:val="24"/>
          <w:szCs w:val="24"/>
          <w:lang w:eastAsia="cs-CZ"/>
        </w:rPr>
        <w:t>of</w:t>
      </w:r>
      <w:proofErr w:type="spellEnd"/>
      <w:r w:rsidRPr="002F5AA4">
        <w:rPr>
          <w:rFonts w:ascii="Times New Roman" w:eastAsia="Times New Roman" w:hAnsi="Times New Roman" w:cs="Times New Roman"/>
          <w:bCs/>
          <w:sz w:val="24"/>
          <w:szCs w:val="24"/>
          <w:lang w:eastAsia="cs-CZ"/>
        </w:rPr>
        <w:t xml:space="preserve"> </w:t>
      </w:r>
      <w:proofErr w:type="spellStart"/>
      <w:r w:rsidRPr="002F5AA4">
        <w:rPr>
          <w:rFonts w:ascii="Times New Roman" w:eastAsia="Times New Roman" w:hAnsi="Times New Roman" w:cs="Times New Roman"/>
          <w:bCs/>
          <w:sz w:val="24"/>
          <w:szCs w:val="24"/>
          <w:lang w:eastAsia="cs-CZ"/>
        </w:rPr>
        <w:t>tomato</w:t>
      </w:r>
      <w:proofErr w:type="spellEnd"/>
      <w:r w:rsidRPr="002F5AA4">
        <w:rPr>
          <w:rFonts w:ascii="Times New Roman" w:eastAsia="Times New Roman" w:hAnsi="Times New Roman" w:cs="Times New Roman"/>
          <w:bCs/>
          <w:sz w:val="24"/>
          <w:szCs w:val="24"/>
          <w:lang w:eastAsia="cs-CZ"/>
        </w:rPr>
        <w:t>. In Cibulka, J. et al. 1991: Pohyb olova, kadmia a rtuti v biosféře. A</w:t>
      </w:r>
      <w:r>
        <w:rPr>
          <w:rFonts w:ascii="Times New Roman" w:eastAsia="Times New Roman" w:hAnsi="Times New Roman" w:cs="Times New Roman"/>
          <w:bCs/>
          <w:sz w:val="24"/>
          <w:szCs w:val="24"/>
          <w:lang w:eastAsia="cs-CZ"/>
        </w:rPr>
        <w:t>cademia Praha, 1991, 427 stran.</w:t>
      </w:r>
    </w:p>
    <w:p w:rsidR="001F59C3" w:rsidRDefault="001F59C3" w:rsidP="001F59C3">
      <w:pPr>
        <w:pStyle w:val="Literatura"/>
        <w:spacing w:after="120" w:line="240" w:lineRule="auto"/>
        <w:ind w:left="0" w:firstLine="0"/>
        <w:rPr>
          <w:sz w:val="24"/>
          <w:lang w:val="en-GB"/>
        </w:rPr>
      </w:pPr>
      <w:r>
        <w:rPr>
          <w:sz w:val="24"/>
          <w:lang w:val="en-GB"/>
        </w:rPr>
        <w:t xml:space="preserve">Yadav R.K., </w:t>
      </w:r>
      <w:proofErr w:type="spellStart"/>
      <w:r>
        <w:rPr>
          <w:sz w:val="24"/>
          <w:lang w:val="en-GB"/>
        </w:rPr>
        <w:t>Minhas</w:t>
      </w:r>
      <w:proofErr w:type="spellEnd"/>
      <w:r>
        <w:rPr>
          <w:sz w:val="24"/>
          <w:lang w:val="en-GB"/>
        </w:rPr>
        <w:t xml:space="preserve"> P.S., Lal K., </w:t>
      </w:r>
      <w:proofErr w:type="spellStart"/>
      <w:r>
        <w:rPr>
          <w:sz w:val="24"/>
          <w:lang w:val="en-GB"/>
        </w:rPr>
        <w:t>Chaturvedi</w:t>
      </w:r>
      <w:proofErr w:type="spellEnd"/>
      <w:r>
        <w:rPr>
          <w:sz w:val="24"/>
          <w:lang w:val="en-GB"/>
        </w:rPr>
        <w:t xml:space="preserve"> R.K., Yadav G., </w:t>
      </w:r>
      <w:proofErr w:type="spellStart"/>
      <w:r>
        <w:rPr>
          <w:sz w:val="24"/>
          <w:lang w:val="en-GB"/>
        </w:rPr>
        <w:t>Verma</w:t>
      </w:r>
      <w:proofErr w:type="spellEnd"/>
      <w:r>
        <w:rPr>
          <w:sz w:val="24"/>
          <w:lang w:val="en-GB"/>
        </w:rPr>
        <w:t xml:space="preserve"> T.P. (2015): Accumulation of Metals in Soils, Groundwater and Edible Parts of Crops Grown Under Long-Term Irrigation with Sewage Mixed Industrial Effluents. Bulletin of Environmental Contamination and Toxicology, 95 (2): 200-206. </w:t>
      </w:r>
    </w:p>
    <w:p w:rsidR="001F59C3" w:rsidRPr="007A7F73" w:rsidRDefault="001F59C3" w:rsidP="001F59C3">
      <w:pPr>
        <w:spacing w:after="120"/>
        <w:rPr>
          <w:rFonts w:ascii="Times New Roman" w:eastAsia="Times New Roman" w:hAnsi="Times New Roman" w:cs="Times New Roman"/>
          <w:sz w:val="24"/>
          <w:szCs w:val="24"/>
          <w:lang w:val="en-GB" w:eastAsia="cs-CZ"/>
        </w:rPr>
      </w:pPr>
      <w:proofErr w:type="spellStart"/>
      <w:r w:rsidRPr="00665FC3">
        <w:rPr>
          <w:rFonts w:ascii="Times New Roman" w:eastAsia="Times New Roman" w:hAnsi="Times New Roman" w:cs="Times New Roman"/>
          <w:sz w:val="24"/>
          <w:szCs w:val="24"/>
          <w:lang w:val="en-GB" w:eastAsia="cs-CZ"/>
        </w:rPr>
        <w:t>Yossef</w:t>
      </w:r>
      <w:proofErr w:type="spellEnd"/>
      <w:r w:rsidRPr="00665FC3">
        <w:rPr>
          <w:rFonts w:ascii="Times New Roman" w:eastAsia="Times New Roman" w:hAnsi="Times New Roman" w:cs="Times New Roman"/>
          <w:sz w:val="24"/>
          <w:szCs w:val="24"/>
          <w:lang w:val="en-GB" w:eastAsia="cs-CZ"/>
        </w:rPr>
        <w:t xml:space="preserve"> R. A., Hayashi H., </w:t>
      </w:r>
      <w:proofErr w:type="gramStart"/>
      <w:r w:rsidRPr="00665FC3">
        <w:rPr>
          <w:rFonts w:ascii="Times New Roman" w:eastAsia="Times New Roman" w:hAnsi="Times New Roman" w:cs="Times New Roman"/>
          <w:sz w:val="24"/>
          <w:szCs w:val="24"/>
          <w:lang w:val="en-GB" w:eastAsia="cs-CZ"/>
        </w:rPr>
        <w:t>Chino</w:t>
      </w:r>
      <w:proofErr w:type="gramEnd"/>
      <w:r w:rsidRPr="00665FC3">
        <w:rPr>
          <w:rFonts w:ascii="Times New Roman" w:eastAsia="Times New Roman" w:hAnsi="Times New Roman" w:cs="Times New Roman"/>
          <w:sz w:val="24"/>
          <w:szCs w:val="24"/>
          <w:lang w:val="en-GB" w:eastAsia="cs-CZ"/>
        </w:rPr>
        <w:t xml:space="preserve"> M., </w:t>
      </w:r>
      <w:proofErr w:type="spellStart"/>
      <w:r w:rsidRPr="00665FC3">
        <w:rPr>
          <w:rFonts w:ascii="Times New Roman" w:eastAsia="Times New Roman" w:hAnsi="Times New Roman" w:cs="Times New Roman"/>
          <w:sz w:val="24"/>
          <w:szCs w:val="24"/>
          <w:lang w:val="en-GB" w:eastAsia="cs-CZ"/>
        </w:rPr>
        <w:t>Goto</w:t>
      </w:r>
      <w:proofErr w:type="spellEnd"/>
      <w:r w:rsidRPr="00665FC3">
        <w:rPr>
          <w:rFonts w:ascii="Times New Roman" w:eastAsia="Times New Roman" w:hAnsi="Times New Roman" w:cs="Times New Roman"/>
          <w:sz w:val="24"/>
          <w:szCs w:val="24"/>
          <w:lang w:val="en-GB" w:eastAsia="cs-CZ"/>
        </w:rPr>
        <w:t xml:space="preserve"> S. </w:t>
      </w:r>
      <w:r>
        <w:rPr>
          <w:rFonts w:ascii="Times New Roman" w:eastAsia="Times New Roman" w:hAnsi="Times New Roman" w:cs="Times New Roman"/>
          <w:sz w:val="24"/>
          <w:szCs w:val="24"/>
          <w:lang w:val="en-GB" w:eastAsia="cs-CZ"/>
        </w:rPr>
        <w:t>(</w:t>
      </w:r>
      <w:r w:rsidRPr="00665FC3">
        <w:rPr>
          <w:rFonts w:ascii="Times New Roman" w:eastAsia="Times New Roman" w:hAnsi="Times New Roman" w:cs="Times New Roman"/>
          <w:sz w:val="24"/>
          <w:szCs w:val="24"/>
          <w:lang w:val="en-GB" w:eastAsia="cs-CZ"/>
        </w:rPr>
        <w:t>1999</w:t>
      </w:r>
      <w:r>
        <w:rPr>
          <w:rFonts w:ascii="Times New Roman" w:eastAsia="Times New Roman" w:hAnsi="Times New Roman" w:cs="Times New Roman"/>
          <w:sz w:val="24"/>
          <w:szCs w:val="24"/>
          <w:lang w:val="en-GB" w:eastAsia="cs-CZ"/>
        </w:rPr>
        <w:t>)</w:t>
      </w:r>
      <w:r w:rsidRPr="00665FC3">
        <w:rPr>
          <w:rFonts w:ascii="Times New Roman" w:eastAsia="Times New Roman" w:hAnsi="Times New Roman" w:cs="Times New Roman"/>
          <w:sz w:val="24"/>
          <w:szCs w:val="24"/>
          <w:lang w:val="en-GB" w:eastAsia="cs-CZ"/>
        </w:rPr>
        <w:t>: Impact of nickel on the distribution of Cu and Zn across the rhizosphere of wheat. 5th International Conference on the Biogeochemistry of Trace Elements, 11.-15. July, Vienna, Austria</w:t>
      </w:r>
      <w:proofErr w:type="gramStart"/>
      <w:r w:rsidRPr="00665FC3">
        <w:rPr>
          <w:rFonts w:ascii="Times New Roman" w:eastAsia="Times New Roman" w:hAnsi="Times New Roman" w:cs="Times New Roman"/>
          <w:sz w:val="24"/>
          <w:szCs w:val="24"/>
          <w:lang w:val="en-GB" w:eastAsia="cs-CZ"/>
        </w:rPr>
        <w:t>,  Proceedings</w:t>
      </w:r>
      <w:proofErr w:type="gramEnd"/>
      <w:r w:rsidRPr="00665FC3">
        <w:rPr>
          <w:rFonts w:ascii="Times New Roman" w:eastAsia="Times New Roman" w:hAnsi="Times New Roman" w:cs="Times New Roman"/>
          <w:sz w:val="24"/>
          <w:szCs w:val="24"/>
          <w:lang w:val="en-GB" w:eastAsia="cs-CZ"/>
        </w:rPr>
        <w:t xml:space="preserve"> of extended abstracts,</w:t>
      </w:r>
      <w:r>
        <w:rPr>
          <w:rFonts w:ascii="Times New Roman" w:eastAsia="Times New Roman" w:hAnsi="Times New Roman" w:cs="Times New Roman"/>
          <w:sz w:val="24"/>
          <w:szCs w:val="24"/>
          <w:lang w:val="en-GB" w:eastAsia="cs-CZ"/>
        </w:rPr>
        <w:t xml:space="preserve"> 192-193.</w:t>
      </w:r>
    </w:p>
    <w:p w:rsidR="001F59C3" w:rsidRPr="00936FE2" w:rsidRDefault="001F59C3" w:rsidP="001F59C3">
      <w:pPr>
        <w:spacing w:after="120"/>
        <w:rPr>
          <w:rFonts w:ascii="Times New Roman" w:eastAsia="Times New Roman" w:hAnsi="Times New Roman" w:cs="Times New Roman"/>
          <w:sz w:val="24"/>
          <w:szCs w:val="24"/>
          <w:lang w:val="de-DE" w:eastAsia="cs-CZ"/>
        </w:rPr>
      </w:pPr>
      <w:proofErr w:type="spellStart"/>
      <w:r w:rsidRPr="00936FE2">
        <w:rPr>
          <w:rFonts w:ascii="Times New Roman" w:eastAsia="Times New Roman" w:hAnsi="Times New Roman" w:cs="Times New Roman"/>
          <w:sz w:val="24"/>
          <w:szCs w:val="24"/>
          <w:lang w:val="de-DE" w:eastAsia="cs-CZ"/>
        </w:rPr>
        <w:t>Zeien</w:t>
      </w:r>
      <w:proofErr w:type="spellEnd"/>
      <w:r w:rsidRPr="00936FE2">
        <w:rPr>
          <w:rFonts w:ascii="Times New Roman" w:eastAsia="Times New Roman" w:hAnsi="Times New Roman" w:cs="Times New Roman"/>
          <w:sz w:val="24"/>
          <w:szCs w:val="24"/>
          <w:lang w:val="de-DE" w:eastAsia="cs-CZ"/>
        </w:rPr>
        <w:t xml:space="preserve"> H., </w:t>
      </w:r>
      <w:proofErr w:type="spellStart"/>
      <w:r w:rsidRPr="00936FE2">
        <w:rPr>
          <w:rFonts w:ascii="Times New Roman" w:eastAsia="Times New Roman" w:hAnsi="Times New Roman" w:cs="Times New Roman"/>
          <w:sz w:val="24"/>
          <w:szCs w:val="24"/>
          <w:lang w:val="de-DE" w:eastAsia="cs-CZ"/>
        </w:rPr>
        <w:t>Brümme</w:t>
      </w:r>
      <w:proofErr w:type="spellEnd"/>
      <w:r w:rsidRPr="00936FE2">
        <w:rPr>
          <w:rFonts w:ascii="Times New Roman" w:eastAsia="Times New Roman" w:hAnsi="Times New Roman" w:cs="Times New Roman"/>
          <w:sz w:val="24"/>
          <w:szCs w:val="24"/>
          <w:lang w:val="de-DE" w:eastAsia="cs-CZ"/>
        </w:rPr>
        <w:t xml:space="preserve">, G. W. </w:t>
      </w:r>
      <w:r>
        <w:rPr>
          <w:rFonts w:ascii="Times New Roman" w:eastAsia="Times New Roman" w:hAnsi="Times New Roman" w:cs="Times New Roman"/>
          <w:sz w:val="24"/>
          <w:szCs w:val="24"/>
          <w:lang w:val="de-DE" w:eastAsia="cs-CZ"/>
        </w:rPr>
        <w:t>(</w:t>
      </w:r>
      <w:r w:rsidRPr="00936FE2">
        <w:rPr>
          <w:rFonts w:ascii="Times New Roman" w:eastAsia="Times New Roman" w:hAnsi="Times New Roman" w:cs="Times New Roman"/>
          <w:sz w:val="24"/>
          <w:szCs w:val="24"/>
          <w:lang w:val="de-DE" w:eastAsia="cs-CZ"/>
        </w:rPr>
        <w:t>1989</w:t>
      </w:r>
      <w:r>
        <w:rPr>
          <w:rFonts w:ascii="Times New Roman" w:eastAsia="Times New Roman" w:hAnsi="Times New Roman" w:cs="Times New Roman"/>
          <w:sz w:val="24"/>
          <w:szCs w:val="24"/>
          <w:lang w:val="de-DE" w:eastAsia="cs-CZ"/>
        </w:rPr>
        <w:t>)</w:t>
      </w:r>
      <w:r w:rsidRPr="00936FE2">
        <w:rPr>
          <w:rFonts w:ascii="Times New Roman" w:eastAsia="Times New Roman" w:hAnsi="Times New Roman" w:cs="Times New Roman"/>
          <w:sz w:val="24"/>
          <w:szCs w:val="24"/>
          <w:lang w:val="de-DE" w:eastAsia="cs-CZ"/>
        </w:rPr>
        <w:t xml:space="preserve">: Chemische Extraktionen zur Bestimmung von </w:t>
      </w:r>
      <w:proofErr w:type="spellStart"/>
      <w:r w:rsidRPr="00936FE2">
        <w:rPr>
          <w:rFonts w:ascii="Times New Roman" w:eastAsia="Times New Roman" w:hAnsi="Times New Roman" w:cs="Times New Roman"/>
          <w:sz w:val="24"/>
          <w:szCs w:val="24"/>
          <w:lang w:val="de-DE" w:eastAsia="cs-CZ"/>
        </w:rPr>
        <w:t>Schwermetallbildungformen</w:t>
      </w:r>
      <w:proofErr w:type="spellEnd"/>
      <w:r w:rsidRPr="00936FE2">
        <w:rPr>
          <w:rFonts w:ascii="Times New Roman" w:eastAsia="Times New Roman" w:hAnsi="Times New Roman" w:cs="Times New Roman"/>
          <w:sz w:val="24"/>
          <w:szCs w:val="24"/>
          <w:lang w:val="de-DE" w:eastAsia="cs-CZ"/>
        </w:rPr>
        <w:t xml:space="preserve"> in Böden. </w:t>
      </w:r>
      <w:proofErr w:type="spellStart"/>
      <w:r w:rsidRPr="00936FE2">
        <w:rPr>
          <w:rFonts w:ascii="Times New Roman" w:eastAsia="Times New Roman" w:hAnsi="Times New Roman" w:cs="Times New Roman"/>
          <w:sz w:val="24"/>
          <w:szCs w:val="24"/>
          <w:lang w:val="de-DE" w:eastAsia="cs-CZ"/>
        </w:rPr>
        <w:t>Mitt</w:t>
      </w:r>
      <w:proofErr w:type="spellEnd"/>
      <w:r w:rsidRPr="00936FE2">
        <w:rPr>
          <w:rFonts w:ascii="Times New Roman" w:eastAsia="Times New Roman" w:hAnsi="Times New Roman" w:cs="Times New Roman"/>
          <w:sz w:val="24"/>
          <w:szCs w:val="24"/>
          <w:lang w:val="de-DE" w:eastAsia="cs-CZ"/>
        </w:rPr>
        <w:t xml:space="preserve">. </w:t>
      </w:r>
      <w:proofErr w:type="spellStart"/>
      <w:r w:rsidRPr="00936FE2">
        <w:rPr>
          <w:rFonts w:ascii="Times New Roman" w:eastAsia="Times New Roman" w:hAnsi="Times New Roman" w:cs="Times New Roman"/>
          <w:sz w:val="24"/>
          <w:szCs w:val="24"/>
          <w:lang w:val="de-DE" w:eastAsia="cs-CZ"/>
        </w:rPr>
        <w:t>Dtsch</w:t>
      </w:r>
      <w:proofErr w:type="spellEnd"/>
      <w:r w:rsidRPr="00936FE2">
        <w:rPr>
          <w:rFonts w:ascii="Times New Roman" w:eastAsia="Times New Roman" w:hAnsi="Times New Roman" w:cs="Times New Roman"/>
          <w:sz w:val="24"/>
          <w:szCs w:val="24"/>
          <w:lang w:val="de-DE" w:eastAsia="cs-CZ"/>
        </w:rPr>
        <w:t xml:space="preserve">. </w:t>
      </w:r>
      <w:proofErr w:type="spellStart"/>
      <w:r w:rsidRPr="00936FE2">
        <w:rPr>
          <w:rFonts w:ascii="Times New Roman" w:eastAsia="Times New Roman" w:hAnsi="Times New Roman" w:cs="Times New Roman"/>
          <w:sz w:val="24"/>
          <w:szCs w:val="24"/>
          <w:lang w:val="de-DE" w:eastAsia="cs-CZ"/>
        </w:rPr>
        <w:t>Bodenk</w:t>
      </w:r>
      <w:proofErr w:type="spellEnd"/>
      <w:r w:rsidRPr="00936FE2">
        <w:rPr>
          <w:rFonts w:ascii="Times New Roman" w:eastAsia="Times New Roman" w:hAnsi="Times New Roman" w:cs="Times New Roman"/>
          <w:sz w:val="24"/>
          <w:szCs w:val="24"/>
          <w:lang w:val="de-DE" w:eastAsia="cs-CZ"/>
        </w:rPr>
        <w:t>. Gesell., 59, 1989 (1): 505-510.</w:t>
      </w:r>
    </w:p>
    <w:p w:rsidR="001F59C3" w:rsidRPr="00936FE2" w:rsidRDefault="001F59C3" w:rsidP="001F59C3">
      <w:pPr>
        <w:pStyle w:val="Literatura"/>
        <w:spacing w:after="120" w:line="240" w:lineRule="auto"/>
        <w:ind w:left="0" w:firstLine="0"/>
        <w:rPr>
          <w:sz w:val="24"/>
          <w:lang w:val="de-DE"/>
        </w:rPr>
      </w:pPr>
    </w:p>
    <w:p w:rsidR="00A238E7" w:rsidRDefault="00A238E7" w:rsidP="001F59C3">
      <w:pPr>
        <w:pStyle w:val="Nzev"/>
        <w:spacing w:after="120" w:line="360" w:lineRule="auto"/>
        <w:jc w:val="left"/>
      </w:pPr>
    </w:p>
    <w:p w:rsidR="00C61804" w:rsidRPr="00C61804" w:rsidRDefault="00C61804" w:rsidP="00C61804">
      <w:pPr>
        <w:jc w:val="both"/>
        <w:rPr>
          <w:rFonts w:ascii="Times New Roman" w:hAnsi="Times New Roman" w:cs="Times New Roman"/>
          <w:color w:val="0563C1" w:themeColor="hyperlink"/>
          <w:sz w:val="24"/>
          <w:szCs w:val="24"/>
          <w:u w:val="single"/>
        </w:rPr>
      </w:pPr>
      <w:r w:rsidRPr="00C61804">
        <w:rPr>
          <w:rFonts w:ascii="Times New Roman" w:hAnsi="Times New Roman" w:cs="Times New Roman"/>
          <w:b/>
          <w:sz w:val="24"/>
          <w:szCs w:val="24"/>
        </w:rPr>
        <w:t>Zpracoval</w:t>
      </w:r>
      <w:r w:rsidRPr="00C61804">
        <w:rPr>
          <w:rFonts w:ascii="Times New Roman" w:hAnsi="Times New Roman" w:cs="Times New Roman"/>
          <w:sz w:val="24"/>
          <w:szCs w:val="24"/>
        </w:rPr>
        <w:t xml:space="preserve">: doc. Ing. Radim Vácha, Ph.D., Výzkumný ústav meliorací a ochrany půdy, </w:t>
      </w:r>
      <w:proofErr w:type="spellStart"/>
      <w:proofErr w:type="gramStart"/>
      <w:r w:rsidRPr="00C61804">
        <w:rPr>
          <w:rFonts w:ascii="Times New Roman" w:hAnsi="Times New Roman" w:cs="Times New Roman"/>
          <w:sz w:val="24"/>
          <w:szCs w:val="24"/>
        </w:rPr>
        <w:t>v.v.</w:t>
      </w:r>
      <w:proofErr w:type="gramEnd"/>
      <w:r w:rsidRPr="00C61804">
        <w:rPr>
          <w:rFonts w:ascii="Times New Roman" w:hAnsi="Times New Roman" w:cs="Times New Roman"/>
          <w:sz w:val="24"/>
          <w:szCs w:val="24"/>
        </w:rPr>
        <w:t>i</w:t>
      </w:r>
      <w:proofErr w:type="spellEnd"/>
      <w:r w:rsidRPr="00C61804">
        <w:rPr>
          <w:rFonts w:ascii="Times New Roman" w:hAnsi="Times New Roman" w:cs="Times New Roman"/>
          <w:sz w:val="24"/>
          <w:szCs w:val="24"/>
        </w:rPr>
        <w:t>.</w:t>
      </w:r>
      <w:r w:rsidRPr="00C61804">
        <w:rPr>
          <w:rFonts w:ascii="Times New Roman" w:hAnsi="Times New Roman" w:cs="Times New Roman"/>
          <w:color w:val="0563C1" w:themeColor="hyperlink"/>
          <w:sz w:val="24"/>
          <w:szCs w:val="24"/>
          <w:u w:val="single"/>
        </w:rPr>
        <w:t>, vacha.radim@vumop.cz</w:t>
      </w:r>
    </w:p>
    <w:p w:rsidR="00C61804" w:rsidRDefault="00C61804" w:rsidP="001F59C3">
      <w:pPr>
        <w:pStyle w:val="Nzev"/>
        <w:spacing w:after="120" w:line="360" w:lineRule="auto"/>
        <w:jc w:val="left"/>
      </w:pPr>
    </w:p>
    <w:sectPr w:rsidR="00C618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108E"/>
    <w:multiLevelType w:val="hybridMultilevel"/>
    <w:tmpl w:val="7410EE72"/>
    <w:lvl w:ilvl="0" w:tplc="495E2F4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831B82"/>
    <w:multiLevelType w:val="singleLevel"/>
    <w:tmpl w:val="495E2F44"/>
    <w:lvl w:ilvl="0">
      <w:start w:val="2"/>
      <w:numFmt w:val="bullet"/>
      <w:lvlText w:val="-"/>
      <w:lvlJc w:val="left"/>
      <w:pPr>
        <w:ind w:left="720" w:hanging="360"/>
      </w:pPr>
      <w:rPr>
        <w:rFonts w:ascii="Times New Roman" w:eastAsia="Times New Roman" w:hAnsi="Times New Roman" w:cs="Times New Roman" w:hint="default"/>
      </w:rPr>
    </w:lvl>
  </w:abstractNum>
  <w:abstractNum w:abstractNumId="2" w15:restartNumberingAfterBreak="0">
    <w:nsid w:val="0F667093"/>
    <w:multiLevelType w:val="singleLevel"/>
    <w:tmpl w:val="495E2F44"/>
    <w:lvl w:ilvl="0">
      <w:start w:val="2"/>
      <w:numFmt w:val="bullet"/>
      <w:lvlText w:val="-"/>
      <w:lvlJc w:val="left"/>
      <w:pPr>
        <w:ind w:left="720" w:hanging="360"/>
      </w:pPr>
      <w:rPr>
        <w:rFonts w:ascii="Times New Roman" w:eastAsia="Times New Roman" w:hAnsi="Times New Roman" w:cs="Times New Roman" w:hint="default"/>
      </w:rPr>
    </w:lvl>
  </w:abstractNum>
  <w:abstractNum w:abstractNumId="3" w15:restartNumberingAfterBreak="0">
    <w:nsid w:val="321F089D"/>
    <w:multiLevelType w:val="hybridMultilevel"/>
    <w:tmpl w:val="C81461A6"/>
    <w:lvl w:ilvl="0" w:tplc="495E2F44">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F">
      <w:start w:val="1"/>
      <w:numFmt w:val="decimal"/>
      <w:lvlText w:val="%2."/>
      <w:lvlJc w:val="left"/>
      <w:pPr>
        <w:tabs>
          <w:tab w:val="num" w:pos="1440"/>
        </w:tabs>
        <w:ind w:left="1440" w:hanging="360"/>
      </w:p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CD7E07"/>
    <w:multiLevelType w:val="hybridMultilevel"/>
    <w:tmpl w:val="DA8231FA"/>
    <w:lvl w:ilvl="0" w:tplc="89343346">
      <w:start w:val="1"/>
      <w:numFmt w:val="decimal"/>
      <w:lvlText w:val="%1)"/>
      <w:lvlJc w:val="left"/>
      <w:pPr>
        <w:ind w:left="720" w:hanging="360"/>
      </w:pPr>
      <w:rPr>
        <w:rFonts w:hint="default"/>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46E68ED"/>
    <w:multiLevelType w:val="singleLevel"/>
    <w:tmpl w:val="495E2F44"/>
    <w:lvl w:ilvl="0">
      <w:start w:val="2"/>
      <w:numFmt w:val="bullet"/>
      <w:lvlText w:val="-"/>
      <w:lvlJc w:val="left"/>
      <w:pPr>
        <w:ind w:left="720" w:hanging="360"/>
      </w:pPr>
      <w:rPr>
        <w:rFonts w:ascii="Times New Roman" w:eastAsia="Times New Roman" w:hAnsi="Times New Roman" w:cs="Times New Roman" w:hint="default"/>
      </w:rPr>
    </w:lvl>
  </w:abstractNum>
  <w:abstractNum w:abstractNumId="6" w15:restartNumberingAfterBreak="0">
    <w:nsid w:val="4BED1280"/>
    <w:multiLevelType w:val="multilevel"/>
    <w:tmpl w:val="D3A4DFA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CDE2F6B"/>
    <w:multiLevelType w:val="multilevel"/>
    <w:tmpl w:val="F82417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0D05CC9"/>
    <w:multiLevelType w:val="singleLevel"/>
    <w:tmpl w:val="495E2F44"/>
    <w:lvl w:ilvl="0">
      <w:start w:val="2"/>
      <w:numFmt w:val="bullet"/>
      <w:lvlText w:val="-"/>
      <w:lvlJc w:val="left"/>
      <w:pPr>
        <w:ind w:left="720" w:hanging="360"/>
      </w:pPr>
      <w:rPr>
        <w:rFonts w:ascii="Times New Roman" w:eastAsia="Times New Roman" w:hAnsi="Times New Roman" w:cs="Times New Roman" w:hint="default"/>
      </w:rPr>
    </w:lvl>
  </w:abstractNum>
  <w:abstractNum w:abstractNumId="9" w15:restartNumberingAfterBreak="0">
    <w:nsid w:val="6E017028"/>
    <w:multiLevelType w:val="singleLevel"/>
    <w:tmpl w:val="495E2F44"/>
    <w:lvl w:ilvl="0">
      <w:start w:val="2"/>
      <w:numFmt w:val="bullet"/>
      <w:lvlText w:val="-"/>
      <w:lvlJc w:val="left"/>
      <w:pPr>
        <w:ind w:left="720" w:hanging="360"/>
      </w:pPr>
      <w:rPr>
        <w:rFonts w:ascii="Times New Roman" w:eastAsia="Times New Roman" w:hAnsi="Times New Roman" w:cs="Times New Roman" w:hint="default"/>
      </w:rPr>
    </w:lvl>
  </w:abstractNum>
  <w:abstractNum w:abstractNumId="10" w15:restartNumberingAfterBreak="0">
    <w:nsid w:val="6FB004B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0D14947"/>
    <w:multiLevelType w:val="hybridMultilevel"/>
    <w:tmpl w:val="F500A548"/>
    <w:lvl w:ilvl="0" w:tplc="495E2F4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3C52FA1"/>
    <w:multiLevelType w:val="hybridMultilevel"/>
    <w:tmpl w:val="DD860BD8"/>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787A59"/>
    <w:multiLevelType w:val="hybridMultilevel"/>
    <w:tmpl w:val="FFDEA29C"/>
    <w:lvl w:ilvl="0" w:tplc="495E2F4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7F37006"/>
    <w:multiLevelType w:val="hybridMultilevel"/>
    <w:tmpl w:val="B10A54A8"/>
    <w:lvl w:ilvl="0" w:tplc="A8AEB09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786F1219"/>
    <w:multiLevelType w:val="multilevel"/>
    <w:tmpl w:val="F82417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D9E572B"/>
    <w:multiLevelType w:val="singleLevel"/>
    <w:tmpl w:val="495E2F44"/>
    <w:lvl w:ilvl="0">
      <w:start w:val="2"/>
      <w:numFmt w:val="bullet"/>
      <w:lvlText w:val="-"/>
      <w:lvlJc w:val="left"/>
      <w:pPr>
        <w:ind w:left="720" w:hanging="360"/>
      </w:pPr>
      <w:rPr>
        <w:rFonts w:ascii="Times New Roman" w:eastAsia="Times New Roman" w:hAnsi="Times New Roman" w:cs="Times New Roman" w:hint="default"/>
        <w:sz w:val="16"/>
      </w:rPr>
    </w:lvl>
  </w:abstractNum>
  <w:abstractNum w:abstractNumId="17" w15:restartNumberingAfterBreak="0">
    <w:nsid w:val="7E0304F3"/>
    <w:multiLevelType w:val="singleLevel"/>
    <w:tmpl w:val="495E2F44"/>
    <w:lvl w:ilvl="0">
      <w:start w:val="2"/>
      <w:numFmt w:val="bullet"/>
      <w:lvlText w:val="-"/>
      <w:lvlJc w:val="left"/>
      <w:pPr>
        <w:ind w:left="720" w:hanging="360"/>
      </w:pPr>
      <w:rPr>
        <w:rFonts w:ascii="Times New Roman" w:eastAsia="Times New Roman" w:hAnsi="Times New Roman" w:cs="Times New Roman" w:hint="default"/>
        <w:sz w:val="16"/>
      </w:rPr>
    </w:lvl>
  </w:abstractNum>
  <w:abstractNum w:abstractNumId="18" w15:restartNumberingAfterBreak="0">
    <w:nsid w:val="7E914348"/>
    <w:multiLevelType w:val="singleLevel"/>
    <w:tmpl w:val="495E2F44"/>
    <w:lvl w:ilvl="0">
      <w:start w:val="2"/>
      <w:numFmt w:val="bullet"/>
      <w:lvlText w:val="-"/>
      <w:lvlJc w:val="left"/>
      <w:pPr>
        <w:ind w:left="720" w:hanging="360"/>
      </w:pPr>
      <w:rPr>
        <w:rFonts w:ascii="Times New Roman" w:eastAsia="Times New Roman" w:hAnsi="Times New Roman" w:cs="Times New Roman" w:hint="default"/>
      </w:rPr>
    </w:lvl>
  </w:abstractNum>
  <w:num w:numId="1">
    <w:abstractNumId w:val="3"/>
  </w:num>
  <w:num w:numId="2">
    <w:abstractNumId w:val="15"/>
  </w:num>
  <w:num w:numId="3">
    <w:abstractNumId w:val="9"/>
  </w:num>
  <w:num w:numId="4">
    <w:abstractNumId w:val="2"/>
  </w:num>
  <w:num w:numId="5">
    <w:abstractNumId w:val="11"/>
  </w:num>
  <w:num w:numId="6">
    <w:abstractNumId w:val="1"/>
  </w:num>
  <w:num w:numId="7">
    <w:abstractNumId w:val="17"/>
  </w:num>
  <w:num w:numId="8">
    <w:abstractNumId w:val="7"/>
  </w:num>
  <w:num w:numId="9">
    <w:abstractNumId w:val="6"/>
  </w:num>
  <w:num w:numId="10">
    <w:abstractNumId w:val="5"/>
  </w:num>
  <w:num w:numId="11">
    <w:abstractNumId w:val="18"/>
  </w:num>
  <w:num w:numId="12">
    <w:abstractNumId w:val="8"/>
  </w:num>
  <w:num w:numId="13">
    <w:abstractNumId w:val="16"/>
  </w:num>
  <w:num w:numId="14">
    <w:abstractNumId w:val="13"/>
  </w:num>
  <w:num w:numId="15">
    <w:abstractNumId w:val="14"/>
  </w:num>
  <w:num w:numId="16">
    <w:abstractNumId w:val="12"/>
  </w:num>
  <w:num w:numId="17">
    <w:abstractNumId w:val="10"/>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E7"/>
    <w:rsid w:val="00007537"/>
    <w:rsid w:val="00013EFA"/>
    <w:rsid w:val="000E3AE0"/>
    <w:rsid w:val="00101E28"/>
    <w:rsid w:val="001208C1"/>
    <w:rsid w:val="001A4652"/>
    <w:rsid w:val="001B0501"/>
    <w:rsid w:val="001D121B"/>
    <w:rsid w:val="001F59C3"/>
    <w:rsid w:val="002228C2"/>
    <w:rsid w:val="002C7975"/>
    <w:rsid w:val="002D77DF"/>
    <w:rsid w:val="003A72E1"/>
    <w:rsid w:val="003B581C"/>
    <w:rsid w:val="003C54BC"/>
    <w:rsid w:val="003E64DD"/>
    <w:rsid w:val="00451EBA"/>
    <w:rsid w:val="004A1C2F"/>
    <w:rsid w:val="004A3773"/>
    <w:rsid w:val="004C6C39"/>
    <w:rsid w:val="005714C7"/>
    <w:rsid w:val="00594789"/>
    <w:rsid w:val="006D1832"/>
    <w:rsid w:val="006D3882"/>
    <w:rsid w:val="006D4EDB"/>
    <w:rsid w:val="007055E9"/>
    <w:rsid w:val="00891AD9"/>
    <w:rsid w:val="008D3094"/>
    <w:rsid w:val="009559AF"/>
    <w:rsid w:val="00977D5A"/>
    <w:rsid w:val="00A238E7"/>
    <w:rsid w:val="00A265BB"/>
    <w:rsid w:val="00A948CA"/>
    <w:rsid w:val="00AE7EAA"/>
    <w:rsid w:val="00B105CA"/>
    <w:rsid w:val="00B14EB7"/>
    <w:rsid w:val="00B31F37"/>
    <w:rsid w:val="00B4775F"/>
    <w:rsid w:val="00BD7D2D"/>
    <w:rsid w:val="00C61804"/>
    <w:rsid w:val="00CE6EDE"/>
    <w:rsid w:val="00D7414E"/>
    <w:rsid w:val="00DA08C6"/>
    <w:rsid w:val="00E90605"/>
    <w:rsid w:val="00F018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7F3FE-AB5E-44D1-A9A8-385E11F73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891AD9"/>
    <w:pPr>
      <w:spacing w:after="0" w:line="240" w:lineRule="auto"/>
      <w:jc w:val="center"/>
    </w:pPr>
    <w:rPr>
      <w:rFonts w:ascii="Times New Roman" w:eastAsia="Times New Roman" w:hAnsi="Times New Roman" w:cs="Times New Roman"/>
      <w:b/>
      <w:bCs/>
      <w:sz w:val="24"/>
      <w:szCs w:val="24"/>
      <w:lang w:eastAsia="cs-CZ"/>
    </w:rPr>
  </w:style>
  <w:style w:type="character" w:customStyle="1" w:styleId="NzevChar">
    <w:name w:val="Název Char"/>
    <w:basedOn w:val="Standardnpsmoodstavce"/>
    <w:link w:val="Nzev"/>
    <w:rsid w:val="00891AD9"/>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3B581C"/>
    <w:pPr>
      <w:ind w:left="720"/>
      <w:contextualSpacing/>
    </w:pPr>
  </w:style>
  <w:style w:type="paragraph" w:styleId="Zkladntextodsazen">
    <w:name w:val="Body Text Indent"/>
    <w:basedOn w:val="Normln"/>
    <w:link w:val="ZkladntextodsazenChar"/>
    <w:semiHidden/>
    <w:rsid w:val="003B581C"/>
    <w:pPr>
      <w:spacing w:after="120" w:line="360" w:lineRule="auto"/>
      <w:ind w:left="357"/>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semiHidden/>
    <w:rsid w:val="003B581C"/>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semiHidden/>
    <w:unhideWhenUsed/>
    <w:rsid w:val="00013EFA"/>
    <w:pPr>
      <w:spacing w:after="120"/>
    </w:pPr>
  </w:style>
  <w:style w:type="character" w:customStyle="1" w:styleId="ZkladntextChar">
    <w:name w:val="Základní text Char"/>
    <w:basedOn w:val="Standardnpsmoodstavce"/>
    <w:link w:val="Zkladntext"/>
    <w:uiPriority w:val="99"/>
    <w:semiHidden/>
    <w:rsid w:val="00013EFA"/>
  </w:style>
  <w:style w:type="table" w:styleId="Mkatabulky">
    <w:name w:val="Table Grid"/>
    <w:basedOn w:val="Normlntabulka"/>
    <w:uiPriority w:val="59"/>
    <w:rsid w:val="001D12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kt">
    <w:name w:val="abstract(kt)"/>
    <w:basedOn w:val="Normln"/>
    <w:semiHidden/>
    <w:rsid w:val="000E3AE0"/>
    <w:pPr>
      <w:spacing w:before="240" w:after="0" w:line="240" w:lineRule="auto"/>
      <w:jc w:val="both"/>
      <w:outlineLvl w:val="0"/>
    </w:pPr>
    <w:rPr>
      <w:rFonts w:ascii="Times New Roman" w:eastAsia="Times New Roman" w:hAnsi="Times New Roman" w:cs="Times New Roman"/>
      <w:b/>
      <w:bCs/>
      <w:caps/>
      <w:sz w:val="18"/>
      <w:szCs w:val="26"/>
      <w:lang w:eastAsia="cs-CZ"/>
    </w:rPr>
  </w:style>
  <w:style w:type="paragraph" w:customStyle="1" w:styleId="Prosttext1">
    <w:name w:val="Prostý text1"/>
    <w:basedOn w:val="Normln"/>
    <w:rsid w:val="000E3AE0"/>
    <w:pPr>
      <w:spacing w:after="0" w:line="240" w:lineRule="auto"/>
    </w:pPr>
    <w:rPr>
      <w:rFonts w:ascii="Courier New" w:eastAsia="Times New Roman" w:hAnsi="Courier New" w:cs="Times New Roman"/>
      <w:sz w:val="20"/>
      <w:szCs w:val="20"/>
      <w:lang w:eastAsia="cs-CZ"/>
    </w:rPr>
  </w:style>
  <w:style w:type="paragraph" w:customStyle="1" w:styleId="Literatura">
    <w:name w:val="Literatura"/>
    <w:basedOn w:val="Normln"/>
    <w:rsid w:val="001F59C3"/>
    <w:pPr>
      <w:spacing w:before="120" w:after="0" w:line="288" w:lineRule="auto"/>
      <w:ind w:left="709" w:hanging="709"/>
      <w:jc w:val="both"/>
    </w:pPr>
    <w:rPr>
      <w:rFonts w:ascii="Times New Roman" w:eastAsia="Times New Roman" w:hAnsi="Times New Roman" w:cs="Times New Roman"/>
      <w:sz w:val="16"/>
      <w:szCs w:val="24"/>
      <w:lang w:eastAsia="cs-CZ"/>
    </w:rPr>
  </w:style>
  <w:style w:type="character" w:styleId="Siln">
    <w:name w:val="Strong"/>
    <w:qFormat/>
    <w:rsid w:val="001F59C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27</Pages>
  <Words>12508</Words>
  <Characters>73799</Characters>
  <Application>Microsoft Office Word</Application>
  <DocSecurity>0</DocSecurity>
  <Lines>614</Lines>
  <Paragraphs>172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Vácha Radim</dc:creator>
  <cp:keywords/>
  <dc:description/>
  <cp:lastModifiedBy>Martina  Doležalová</cp:lastModifiedBy>
  <cp:revision>15</cp:revision>
  <dcterms:created xsi:type="dcterms:W3CDTF">2018-08-06T13:19:00Z</dcterms:created>
  <dcterms:modified xsi:type="dcterms:W3CDTF">2018-11-29T08:27:00Z</dcterms:modified>
</cp:coreProperties>
</file>