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4" w:rsidRPr="007E78A2" w:rsidRDefault="000A51BD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7E78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Postupná i</w:t>
      </w:r>
      <w:r w:rsidR="00A71CD8" w:rsidRPr="007E78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ntegr</w:t>
      </w:r>
      <w:r w:rsidRPr="007E78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ace</w:t>
      </w:r>
      <w:r w:rsidR="00A71CD8" w:rsidRPr="007E78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 Vysvětlení a porozumění 60</w:t>
      </w:r>
      <w:r w:rsidRPr="007E78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-ti</w:t>
      </w:r>
      <w:r w:rsidR="00A71CD8" w:rsidRPr="007E78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let tvorby politiky lesnictví v Evropské unii</w:t>
      </w:r>
    </w:p>
    <w:bookmarkEnd w:id="0"/>
    <w:p w:rsidR="006F0F44" w:rsidRPr="007E78A2" w:rsidRDefault="006F0F44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27F26" w:rsidRPr="007E78A2" w:rsidRDefault="000A51BD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78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Piecemeal Integration: Explaining and Understanding 60 Years of European Union Forest Policy-Making</w:t>
      </w:r>
    </w:p>
    <w:p w:rsidR="00727F26" w:rsidRPr="007E78A2" w:rsidRDefault="00727F26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31FC4" w:rsidRPr="007E78A2" w:rsidRDefault="00F149D8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8A2">
        <w:rPr>
          <w:rFonts w:ascii="Times New Roman" w:hAnsi="Times New Roman" w:cs="Times New Roman"/>
          <w:sz w:val="24"/>
          <w:szCs w:val="24"/>
        </w:rPr>
        <w:t>P</w:t>
      </w:r>
      <w:r w:rsidR="007E78A2" w:rsidRPr="007E78A2">
        <w:rPr>
          <w:rFonts w:ascii="Times New Roman" w:hAnsi="Times New Roman" w:cs="Times New Roman"/>
          <w:sz w:val="24"/>
          <w:szCs w:val="24"/>
        </w:rPr>
        <w:t>ü</w:t>
      </w:r>
      <w:r w:rsidR="007E78A2">
        <w:rPr>
          <w:rFonts w:ascii="Times New Roman" w:hAnsi="Times New Roman" w:cs="Times New Roman"/>
          <w:sz w:val="24"/>
          <w:szCs w:val="24"/>
        </w:rPr>
        <w:t>lzl, H</w:t>
      </w:r>
      <w:r w:rsidRPr="007E78A2">
        <w:rPr>
          <w:rFonts w:ascii="Times New Roman" w:hAnsi="Times New Roman" w:cs="Times New Roman"/>
          <w:sz w:val="24"/>
          <w:szCs w:val="24"/>
        </w:rPr>
        <w:t>.</w:t>
      </w:r>
      <w:r w:rsidR="007E78A2">
        <w:rPr>
          <w:rFonts w:ascii="Times New Roman" w:hAnsi="Times New Roman" w:cs="Times New Roman"/>
          <w:sz w:val="24"/>
          <w:szCs w:val="24"/>
        </w:rPr>
        <w:t>,</w:t>
      </w:r>
      <w:r w:rsidRPr="007E78A2">
        <w:rPr>
          <w:rFonts w:ascii="Times New Roman" w:hAnsi="Times New Roman" w:cs="Times New Roman"/>
          <w:sz w:val="24"/>
          <w:szCs w:val="24"/>
        </w:rPr>
        <w:t xml:space="preserve"> W</w:t>
      </w:r>
      <w:r w:rsidR="007E78A2" w:rsidRPr="007E78A2">
        <w:rPr>
          <w:rFonts w:ascii="Times New Roman" w:hAnsi="Times New Roman" w:cs="Times New Roman"/>
          <w:sz w:val="24"/>
          <w:szCs w:val="24"/>
        </w:rPr>
        <w:t>ydra</w:t>
      </w:r>
      <w:r w:rsidR="007E78A2">
        <w:rPr>
          <w:rFonts w:ascii="Times New Roman" w:hAnsi="Times New Roman" w:cs="Times New Roman"/>
          <w:sz w:val="24"/>
          <w:szCs w:val="24"/>
        </w:rPr>
        <w:t>, D</w:t>
      </w:r>
      <w:r w:rsidRPr="007E78A2">
        <w:rPr>
          <w:rFonts w:ascii="Times New Roman" w:hAnsi="Times New Roman" w:cs="Times New Roman"/>
          <w:sz w:val="24"/>
          <w:szCs w:val="24"/>
        </w:rPr>
        <w:t>.</w:t>
      </w:r>
      <w:r w:rsidR="007E78A2">
        <w:rPr>
          <w:rFonts w:ascii="Times New Roman" w:hAnsi="Times New Roman" w:cs="Times New Roman"/>
          <w:sz w:val="24"/>
          <w:szCs w:val="24"/>
        </w:rPr>
        <w:t>, Hogl, K</w:t>
      </w:r>
      <w:r w:rsidRPr="007E78A2">
        <w:rPr>
          <w:rFonts w:ascii="Times New Roman" w:hAnsi="Times New Roman" w:cs="Times New Roman"/>
          <w:sz w:val="24"/>
          <w:szCs w:val="24"/>
        </w:rPr>
        <w:t>.</w:t>
      </w:r>
      <w:r w:rsidR="007E78A2">
        <w:rPr>
          <w:rFonts w:ascii="Times New Roman" w:hAnsi="Times New Roman" w:cs="Times New Roman"/>
          <w:sz w:val="24"/>
          <w:szCs w:val="24"/>
        </w:rPr>
        <w:t xml:space="preserve"> 2018.</w:t>
      </w:r>
      <w:r w:rsidR="000A51BD" w:rsidRPr="007E78A2">
        <w:rPr>
          <w:rFonts w:ascii="Times New Roman" w:hAnsi="Times New Roman" w:cs="Times New Roman"/>
        </w:rPr>
        <w:t xml:space="preserve"> </w:t>
      </w:r>
      <w:r w:rsidR="000A51BD" w:rsidRPr="007E78A2">
        <w:rPr>
          <w:rFonts w:ascii="Times New Roman" w:hAnsi="Times New Roman" w:cs="Times New Roman"/>
          <w:sz w:val="24"/>
          <w:szCs w:val="24"/>
        </w:rPr>
        <w:t xml:space="preserve">Piecemeal Integration: Explaining and Understanding 60 Years of European Union Forest Policy-Making. </w:t>
      </w:r>
      <w:r w:rsidRPr="007E78A2">
        <w:rPr>
          <w:rFonts w:ascii="Times New Roman" w:hAnsi="Times New Roman" w:cs="Times New Roman"/>
          <w:sz w:val="24"/>
          <w:szCs w:val="24"/>
        </w:rPr>
        <w:t>Forests</w:t>
      </w:r>
      <w:r w:rsidR="00331FC4"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331FC4"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</w:t>
      </w:r>
      <w:r w:rsidR="00331FC4"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719</w:t>
      </w:r>
      <w:r w:rsidR="008D312C"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7E7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</w:p>
    <w:bookmarkEnd w:id="1"/>
    <w:p w:rsidR="00286899" w:rsidRPr="007E78A2" w:rsidRDefault="00286899" w:rsidP="002868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7E78A2" w:rsidRDefault="004940A2" w:rsidP="00137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71C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A71CD8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institucionalizace</w:t>
        </w:r>
      </w:hyperlink>
      <w:r w:rsidR="001377B4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" w:history="1">
        <w:r w:rsidR="001377B4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</w:t>
        </w:r>
        <w:r w:rsidR="00A71CD8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eorie evropské integrace</w:t>
        </w:r>
      </w:hyperlink>
      <w:r w:rsidR="001377B4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history="1">
        <w:r w:rsidR="00A71CD8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lesní</w:t>
        </w:r>
        <w:r w:rsidR="001377B4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71CD8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politika</w:t>
        </w:r>
      </w:hyperlink>
      <w:r w:rsid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Evropská </w:t>
      </w:r>
      <w:r w:rsidR="001377B4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unie, </w:t>
      </w:r>
      <w:hyperlink r:id="rId10" w:history="1">
        <w:r w:rsidR="00A71CD8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vytváření politik</w:t>
        </w:r>
      </w:hyperlink>
    </w:p>
    <w:p w:rsidR="00F56BF6" w:rsidRPr="007E78A2" w:rsidRDefault="00F56BF6" w:rsidP="00F56B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7E78A2" w:rsidRDefault="007E78A2" w:rsidP="00CD33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7E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1377B4" w:rsidRPr="007E78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https://www.mdpi.com/1999-4907/9/11/719/htm</w:t>
        </w:r>
      </w:hyperlink>
    </w:p>
    <w:p w:rsidR="00F149D8" w:rsidRPr="007E78A2" w:rsidRDefault="00F149D8" w:rsidP="00CD33C8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7F1E" w:rsidRPr="007E78A2" w:rsidRDefault="001377B4" w:rsidP="0013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se v 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článk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zabýv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ají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lesnickou politikou 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úrovni EU a článek konstruovali 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jako empirickou případovou studii evropské integrace. 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Ve svém přístupu p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ouži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různých teoretických 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nástrojů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přístupů evropské integrace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neo-funkcionalit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, liberální mezigovernment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a konstruktivismu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. Cílem</w:t>
      </w:r>
      <w:r w:rsidR="00BF7F1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objasnit a pochopit integraci lesní politiky v Evropské unii během</w:t>
      </w:r>
      <w:r w:rsidR="00BF7F1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tří časových bloků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(1958 až 196</w:t>
      </w:r>
      <w:r w:rsidR="00BF7F1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9, 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1970 až do konce 90. let a stabilizační období </w:t>
      </w:r>
      <w:r w:rsidR="00BF7F1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do současnosti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r w:rsidR="00BF7F1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Autoři konstatují, že je zřetelný přínos všech teorií intergrace a že každá teorie svoji vahou přispívá k dobrým výsledkům analýzy.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Nicméně, </w:t>
      </w:r>
      <w:r w:rsidR="00BF7F1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samostatně 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žádná ze zavedených teorií integrace nemůže vysvětlit všechny relevantní aspekty širšího vývoje v lesní politice EU. Žádná individuální teorie nemůže pomoci vysvětlit, proč se politika lesnictví rozvíjela jen postupně a proč byla slabě institucionalizována.</w:t>
      </w:r>
      <w:r w:rsidR="00BF7F1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49D8" w:rsidRPr="007E78A2" w:rsidRDefault="00BF7F1E" w:rsidP="0013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Evropský parlament široce uznává d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ůležitost lesů, jejich význam pro ekosystémy, jejich role při předcházení změnám klimatu a ztrátě biologické rozmanitosti, a zároveň poskytnutí řady cenných produktů, jsou v rámci EU široce uznávány. Důvody pro další integraci lesní politiky na evropské úrovni jsou rozmanité, především vyplývající ze společných zájmů, aby se zabránilo negativním externalitám, např. 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nečištění půdy nebo rozsáhlé porušení lesa v důsledku znečištění ovzduší přesahujícího hranice států. Další motivace v tomto ohledu vyplývá z cíle poskytovat veřejné statky přeshraničního charakteru, jako je celoevropský obchodní režim bez cla a netarifních překážek, společný režim pro podporu příspěvků lesního hospodářství k dobrým životním podmínkám ve venkovských oblastech, ochrany biologické rozmanitosti lesů nebo zachování krásné krajiny v evropském měřítku. Zakládající smlouvy Unie však nestanovily žádné předpisy pro lesy ani lesnictví a místo toho se pravidla společného trhu uplatňovala na zemědělské produkty jako produkty lesního hospodářství a dřevo kromě korkového dřeva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. Z</w:t>
      </w:r>
      <w:r w:rsidR="00F149D8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áležitosti týkající se lesů jsou řešeny v řadě právních a politických nástrojů, ale nebyla přijata komplexní politika v oblasti lesnictví v celé EU</w:t>
      </w:r>
    </w:p>
    <w:p w:rsidR="00727F26" w:rsidRPr="007E78A2" w:rsidRDefault="00BF7F1E" w:rsidP="0013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v článku chronologicky uspořádali 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vývoj lesnické politiky a její integrace v rámci EU. O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dmít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ání jednotné lesnické politiky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považováno za úzce spojené s hospodářskými zájmy velkých lesních podniků a průmyslových odvětví lesních produktů, které jsou vnímány jako obvykle proti jakýmkoli návrhům, které mohou z jejich perspektivy narušit trhy prostřednictvím dodatečných ekologických norem a dotací pro konkurenty v členských státech s méně produktivním lesní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odvětví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Zástupci environmentálních skupin a administrací 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jsou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navíc primárně zainteresováni na vývoji environmentálních politik a legislativy, a ne do lepší integrované lesní politiky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Tento významný rozpor mezi ochranářem životního prostředí na jedné straně a zájmy zaměřenými na lesnictví a komodity na druhé straně dále brání jak koordinaci, tak integraci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Dále autoři dokladují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 noví členové 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 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přinesli nové zájmy a tím změnily jak vyjednávací procesy, tak výsledky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intergace lesnické politiky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Silné zájmové skupiny na národní úrovni určily postavení zemí na evropské úrovni. Navzdory návrhu o 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začlenění politiky v oblasti lesnictví do Smlouvy o Ústavě pro Evropskou unii v roce 2004 tuto skutečnost nesledovaly členské státy. Zatímco liberální mezivládní přístup je schopen vysvětlit, proč silné národní zájmy v silných členských státech brání vytváření silnějšího právního základu pro politiku v oblasti lesnictví, 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elmi aktivní komis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e evropského parlamentu dokáže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jít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cesty postupně rozvíjet politiku v oblasti lesnictví navzdory neochotě členských států</w:t>
      </w:r>
      <w:r w:rsidR="0085529E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byť není </w:t>
      </w:r>
      <w:r w:rsidR="000A51BD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požadovaná jednota v blízkém časovém horizontu reálná.</w:t>
      </w:r>
      <w:r w:rsidR="00FC176F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C176F" w:rsidRPr="007E78A2" w:rsidRDefault="00FC176F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1BD" w:rsidRPr="007E78A2" w:rsidRDefault="000A51BD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7E78A2" w:rsidRDefault="00D75E4C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7E78A2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7E78A2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F4" w:rsidRDefault="00BE3FF4" w:rsidP="004940A2">
      <w:pPr>
        <w:spacing w:after="0" w:line="240" w:lineRule="auto"/>
      </w:pPr>
      <w:r>
        <w:separator/>
      </w:r>
    </w:p>
  </w:endnote>
  <w:endnote w:type="continuationSeparator" w:id="0">
    <w:p w:rsidR="00BE3FF4" w:rsidRDefault="00BE3FF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F4" w:rsidRDefault="00BE3FF4" w:rsidP="004940A2">
      <w:pPr>
        <w:spacing w:after="0" w:line="240" w:lineRule="auto"/>
      </w:pPr>
      <w:r>
        <w:separator/>
      </w:r>
    </w:p>
  </w:footnote>
  <w:footnote w:type="continuationSeparator" w:id="0">
    <w:p w:rsidR="00BE3FF4" w:rsidRDefault="00BE3FF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04C78"/>
    <w:rsid w:val="0001320B"/>
    <w:rsid w:val="00020C73"/>
    <w:rsid w:val="00034200"/>
    <w:rsid w:val="00057943"/>
    <w:rsid w:val="00066C85"/>
    <w:rsid w:val="00066CC3"/>
    <w:rsid w:val="0007495D"/>
    <w:rsid w:val="00082AF5"/>
    <w:rsid w:val="00086E52"/>
    <w:rsid w:val="000A51BD"/>
    <w:rsid w:val="000B30E7"/>
    <w:rsid w:val="00114FF5"/>
    <w:rsid w:val="00122028"/>
    <w:rsid w:val="00124D79"/>
    <w:rsid w:val="001377B4"/>
    <w:rsid w:val="001426F8"/>
    <w:rsid w:val="00165E32"/>
    <w:rsid w:val="00192A8C"/>
    <w:rsid w:val="0019553E"/>
    <w:rsid w:val="00197516"/>
    <w:rsid w:val="001C4A3A"/>
    <w:rsid w:val="001F0601"/>
    <w:rsid w:val="00202598"/>
    <w:rsid w:val="0021532C"/>
    <w:rsid w:val="00230667"/>
    <w:rsid w:val="00234892"/>
    <w:rsid w:val="00235DEA"/>
    <w:rsid w:val="00252B99"/>
    <w:rsid w:val="00261E9B"/>
    <w:rsid w:val="00267282"/>
    <w:rsid w:val="00286899"/>
    <w:rsid w:val="00290F76"/>
    <w:rsid w:val="002A1F03"/>
    <w:rsid w:val="002C5102"/>
    <w:rsid w:val="002D6E5D"/>
    <w:rsid w:val="002E4F00"/>
    <w:rsid w:val="002E65F1"/>
    <w:rsid w:val="003108CD"/>
    <w:rsid w:val="00331FC4"/>
    <w:rsid w:val="00333B2E"/>
    <w:rsid w:val="003444F9"/>
    <w:rsid w:val="00347AEE"/>
    <w:rsid w:val="00350D56"/>
    <w:rsid w:val="00353292"/>
    <w:rsid w:val="003675F7"/>
    <w:rsid w:val="00367D87"/>
    <w:rsid w:val="003737FD"/>
    <w:rsid w:val="003B65CF"/>
    <w:rsid w:val="003B6AF4"/>
    <w:rsid w:val="003C0DC3"/>
    <w:rsid w:val="003E1E20"/>
    <w:rsid w:val="003E5AF0"/>
    <w:rsid w:val="003E7866"/>
    <w:rsid w:val="003F3221"/>
    <w:rsid w:val="00400199"/>
    <w:rsid w:val="004020E4"/>
    <w:rsid w:val="004024E5"/>
    <w:rsid w:val="00407402"/>
    <w:rsid w:val="00411E10"/>
    <w:rsid w:val="00422FBD"/>
    <w:rsid w:val="004334A1"/>
    <w:rsid w:val="00437837"/>
    <w:rsid w:val="00440C4A"/>
    <w:rsid w:val="004467FF"/>
    <w:rsid w:val="00456F8C"/>
    <w:rsid w:val="00480DCF"/>
    <w:rsid w:val="00485972"/>
    <w:rsid w:val="004940A2"/>
    <w:rsid w:val="004A4DB5"/>
    <w:rsid w:val="004C3282"/>
    <w:rsid w:val="004E03EF"/>
    <w:rsid w:val="004E16B5"/>
    <w:rsid w:val="005300F1"/>
    <w:rsid w:val="0053768A"/>
    <w:rsid w:val="005454B9"/>
    <w:rsid w:val="0054602D"/>
    <w:rsid w:val="005911B3"/>
    <w:rsid w:val="005A07C1"/>
    <w:rsid w:val="005A2605"/>
    <w:rsid w:val="005A611B"/>
    <w:rsid w:val="005A7941"/>
    <w:rsid w:val="005B3643"/>
    <w:rsid w:val="005B7866"/>
    <w:rsid w:val="005C2277"/>
    <w:rsid w:val="005C3593"/>
    <w:rsid w:val="00600581"/>
    <w:rsid w:val="00612A8A"/>
    <w:rsid w:val="00616069"/>
    <w:rsid w:val="006224FC"/>
    <w:rsid w:val="00623A51"/>
    <w:rsid w:val="00647C02"/>
    <w:rsid w:val="006533A2"/>
    <w:rsid w:val="006C1B97"/>
    <w:rsid w:val="006E0669"/>
    <w:rsid w:val="006E446D"/>
    <w:rsid w:val="006F0F44"/>
    <w:rsid w:val="00710AF5"/>
    <w:rsid w:val="00727F26"/>
    <w:rsid w:val="00745BAF"/>
    <w:rsid w:val="00745C80"/>
    <w:rsid w:val="00757153"/>
    <w:rsid w:val="00766058"/>
    <w:rsid w:val="00783F6A"/>
    <w:rsid w:val="00784B11"/>
    <w:rsid w:val="007876DD"/>
    <w:rsid w:val="007910B7"/>
    <w:rsid w:val="007A1B1E"/>
    <w:rsid w:val="007A6BE0"/>
    <w:rsid w:val="007B1AFF"/>
    <w:rsid w:val="007B31F0"/>
    <w:rsid w:val="007C6EFD"/>
    <w:rsid w:val="007E78A2"/>
    <w:rsid w:val="00811E50"/>
    <w:rsid w:val="00824EC0"/>
    <w:rsid w:val="0082728A"/>
    <w:rsid w:val="008349E3"/>
    <w:rsid w:val="00854F0B"/>
    <w:rsid w:val="0085529E"/>
    <w:rsid w:val="00863B30"/>
    <w:rsid w:val="008642AE"/>
    <w:rsid w:val="00885804"/>
    <w:rsid w:val="008934F1"/>
    <w:rsid w:val="00894B57"/>
    <w:rsid w:val="008B2C97"/>
    <w:rsid w:val="008C3F54"/>
    <w:rsid w:val="008D312C"/>
    <w:rsid w:val="008D5F6B"/>
    <w:rsid w:val="008D6B1C"/>
    <w:rsid w:val="008E0DE2"/>
    <w:rsid w:val="008F6323"/>
    <w:rsid w:val="00903098"/>
    <w:rsid w:val="00912EF5"/>
    <w:rsid w:val="00923FC0"/>
    <w:rsid w:val="00931133"/>
    <w:rsid w:val="0093328D"/>
    <w:rsid w:val="00935170"/>
    <w:rsid w:val="009529F6"/>
    <w:rsid w:val="009633A1"/>
    <w:rsid w:val="009849A6"/>
    <w:rsid w:val="00985BB3"/>
    <w:rsid w:val="009B11EB"/>
    <w:rsid w:val="009D0972"/>
    <w:rsid w:val="009D7FC7"/>
    <w:rsid w:val="009E2F1E"/>
    <w:rsid w:val="009F7D0E"/>
    <w:rsid w:val="00A1449A"/>
    <w:rsid w:val="00A359C1"/>
    <w:rsid w:val="00A52C70"/>
    <w:rsid w:val="00A71CD8"/>
    <w:rsid w:val="00A85A4C"/>
    <w:rsid w:val="00AA3D9B"/>
    <w:rsid w:val="00AB3708"/>
    <w:rsid w:val="00AB3DAE"/>
    <w:rsid w:val="00AC2B98"/>
    <w:rsid w:val="00AD58E0"/>
    <w:rsid w:val="00AF6D25"/>
    <w:rsid w:val="00B07396"/>
    <w:rsid w:val="00B424DA"/>
    <w:rsid w:val="00B4332C"/>
    <w:rsid w:val="00B45C77"/>
    <w:rsid w:val="00B52184"/>
    <w:rsid w:val="00B62B75"/>
    <w:rsid w:val="00B6689A"/>
    <w:rsid w:val="00B70202"/>
    <w:rsid w:val="00B7568B"/>
    <w:rsid w:val="00BA0441"/>
    <w:rsid w:val="00BA1CAC"/>
    <w:rsid w:val="00BD4925"/>
    <w:rsid w:val="00BD6689"/>
    <w:rsid w:val="00BE24C2"/>
    <w:rsid w:val="00BE3FF4"/>
    <w:rsid w:val="00BF7F1E"/>
    <w:rsid w:val="00C467C4"/>
    <w:rsid w:val="00C51A9B"/>
    <w:rsid w:val="00C7779E"/>
    <w:rsid w:val="00CA2872"/>
    <w:rsid w:val="00CD03C3"/>
    <w:rsid w:val="00CD33C8"/>
    <w:rsid w:val="00CF0054"/>
    <w:rsid w:val="00D13DB0"/>
    <w:rsid w:val="00D22C45"/>
    <w:rsid w:val="00D24328"/>
    <w:rsid w:val="00D345F6"/>
    <w:rsid w:val="00D42C69"/>
    <w:rsid w:val="00D45B5F"/>
    <w:rsid w:val="00D5758A"/>
    <w:rsid w:val="00D75E4C"/>
    <w:rsid w:val="00D94144"/>
    <w:rsid w:val="00DA1FCB"/>
    <w:rsid w:val="00DC59E6"/>
    <w:rsid w:val="00DE3C36"/>
    <w:rsid w:val="00E15171"/>
    <w:rsid w:val="00E3583B"/>
    <w:rsid w:val="00E552EC"/>
    <w:rsid w:val="00E612B3"/>
    <w:rsid w:val="00E64970"/>
    <w:rsid w:val="00E727C0"/>
    <w:rsid w:val="00EC66B6"/>
    <w:rsid w:val="00EF7E14"/>
    <w:rsid w:val="00F149D8"/>
    <w:rsid w:val="00F22101"/>
    <w:rsid w:val="00F46829"/>
    <w:rsid w:val="00F54B4F"/>
    <w:rsid w:val="00F56BF6"/>
    <w:rsid w:val="00F71300"/>
    <w:rsid w:val="00FA7F0C"/>
    <w:rsid w:val="00FB6278"/>
    <w:rsid w:val="00FC0A61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71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cs&amp;prev=search&amp;rurl=translate.google.cz&amp;sl=en&amp;sp=nmt4&amp;u=https://www.mdpi.com/search%3Fq%3DEuropean%2520integration%2520theories&amp;xid=17259,15700023,15700124,15700149,15700186,15700191,15700201,15700237,15700242&amp;usg=ALkJrhgKuqsfPpB_6qASqA2rF9XuB5J0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cs&amp;prev=search&amp;rurl=translate.google.cz&amp;sl=en&amp;sp=nmt4&amp;u=https://www.mdpi.com/search%3Fq%3Dinstitutionalization&amp;xid=17259,15700023,15700124,15700149,15700186,15700191,15700201,15700237,15700242&amp;usg=ALkJrhikm2AnPD_r8EEzazITU8O_E0Zj1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dpi.com/1999-4907/9/11/719/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late.googleusercontent.com/translate_c?depth=1&amp;hl=cs&amp;prev=search&amp;rurl=translate.google.cz&amp;sl=en&amp;sp=nmt4&amp;u=https://www.mdpi.com/search%3Fq%3Dpolicy-making&amp;xid=17259,15700023,15700124,15700149,15700186,15700191,15700201,15700237,15700242&amp;usg=ALkJrhgbdpmBhxYTW3C8qTFqlwi-Ikp8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cs&amp;prev=search&amp;rurl=translate.google.cz&amp;sl=en&amp;sp=nmt4&amp;u=https://www.mdpi.com/search%3Fq%3Dforest%2520policy&amp;xid=17259,15700023,15700124,15700149,15700186,15700191,15700201,15700237,15700242&amp;usg=ALkJrhjGhMtm8_qpIWCU-oWrSDMfRxZ2G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4468-A1A0-448E-9F4C-F7980C5E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2018-12-08T19:16:00Z</dcterms:created>
  <dcterms:modified xsi:type="dcterms:W3CDTF">2018-12-12T08:28:00Z</dcterms:modified>
</cp:coreProperties>
</file>