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144E">
        <w:rPr>
          <w:rFonts w:ascii="Times New Roman" w:hAnsi="Times New Roman" w:cs="Times New Roman"/>
          <w:b/>
          <w:sz w:val="24"/>
          <w:szCs w:val="24"/>
        </w:rPr>
        <w:t xml:space="preserve">Toxicita a </w:t>
      </w:r>
      <w:proofErr w:type="spellStart"/>
      <w:r w:rsidRPr="00F4144E">
        <w:rPr>
          <w:rFonts w:ascii="Times New Roman" w:hAnsi="Times New Roman" w:cs="Times New Roman"/>
          <w:b/>
          <w:sz w:val="24"/>
          <w:szCs w:val="24"/>
        </w:rPr>
        <w:t>karcinogenita</w:t>
      </w:r>
      <w:proofErr w:type="spellEnd"/>
      <w:r w:rsidRPr="00F41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b/>
          <w:sz w:val="24"/>
          <w:szCs w:val="24"/>
        </w:rPr>
        <w:t>glyfosátu</w:t>
      </w:r>
      <w:proofErr w:type="spellEnd"/>
      <w:r w:rsidRPr="00F4144E">
        <w:rPr>
          <w:rFonts w:ascii="Times New Roman" w:hAnsi="Times New Roman" w:cs="Times New Roman"/>
          <w:b/>
          <w:sz w:val="24"/>
          <w:szCs w:val="24"/>
        </w:rPr>
        <w:t>: přehled vědeckého základu hodnocení v Evropské unii a jeho rozdíly s hodnocením IARC</w:t>
      </w:r>
    </w:p>
    <w:bookmarkEnd w:id="0"/>
    <w:p w:rsidR="009A3B2A" w:rsidRPr="00F4144E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B2A" w:rsidRP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Glyphosate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toxicity and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carcinogenicity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scientific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basis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Uion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differences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2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A3B2A">
        <w:rPr>
          <w:rFonts w:ascii="Times New Roman" w:hAnsi="Times New Roman" w:cs="Times New Roman"/>
          <w:b/>
          <w:sz w:val="24"/>
          <w:szCs w:val="24"/>
        </w:rPr>
        <w:t xml:space="preserve"> IARC</w:t>
      </w:r>
    </w:p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44E">
        <w:rPr>
          <w:rFonts w:ascii="Times New Roman" w:hAnsi="Times New Roman" w:cs="Times New Roman"/>
          <w:sz w:val="24"/>
          <w:szCs w:val="24"/>
        </w:rPr>
        <w:t>Tarazona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V.,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Court-Marques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Tiramani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M., </w:t>
      </w:r>
      <w:r w:rsidRPr="00F4144E">
        <w:rPr>
          <w:rFonts w:ascii="Times New Roman" w:hAnsi="Times New Roman" w:cs="Times New Roman"/>
          <w:sz w:val="24"/>
          <w:szCs w:val="24"/>
        </w:rPr>
        <w:t>Reich,</w:t>
      </w:r>
      <w:r>
        <w:rPr>
          <w:rFonts w:ascii="Times New Roman" w:hAnsi="Times New Roman" w:cs="Times New Roman"/>
          <w:sz w:val="24"/>
          <w:szCs w:val="24"/>
        </w:rPr>
        <w:t xml:space="preserve"> H.,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Pfeil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Istace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F.,</w:t>
      </w:r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Crivellente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2017.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Glyphosate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toxicity and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carcinogenicity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Union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144E">
        <w:rPr>
          <w:rFonts w:ascii="Times New Roman" w:hAnsi="Times New Roman" w:cs="Times New Roman"/>
          <w:sz w:val="24"/>
          <w:szCs w:val="24"/>
        </w:rPr>
        <w:t xml:space="preserve"> IARC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Arch</w:t>
      </w:r>
      <w:r>
        <w:rPr>
          <w:rFonts w:ascii="Times New Roman" w:hAnsi="Times New Roman" w:cs="Times New Roman"/>
          <w:sz w:val="24"/>
          <w:szCs w:val="24"/>
        </w:rPr>
        <w:t>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4E">
        <w:rPr>
          <w:rFonts w:ascii="Times New Roman" w:hAnsi="Times New Roman" w:cs="Times New Roman"/>
          <w:sz w:val="24"/>
          <w:szCs w:val="24"/>
        </w:rPr>
        <w:t>Toxicol</w:t>
      </w:r>
      <w:r>
        <w:rPr>
          <w:rFonts w:ascii="Times New Roman" w:hAnsi="Times New Roman" w:cs="Times New Roman"/>
          <w:sz w:val="24"/>
          <w:szCs w:val="24"/>
        </w:rPr>
        <w:t>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44E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144E">
        <w:rPr>
          <w:rFonts w:ascii="Times New Roman" w:hAnsi="Times New Roman" w:cs="Times New Roman"/>
          <w:sz w:val="24"/>
          <w:szCs w:val="24"/>
        </w:rPr>
        <w:t>(8): 2723–2743.</w:t>
      </w:r>
    </w:p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A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toxicita,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karcinogenita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144E">
        <w:rPr>
          <w:rFonts w:ascii="Times New Roman" w:hAnsi="Times New Roman" w:cs="Times New Roman"/>
          <w:sz w:val="24"/>
          <w:szCs w:val="24"/>
        </w:rPr>
        <w:t xml:space="preserve">IARC, EFSA, </w:t>
      </w:r>
      <w:r>
        <w:rPr>
          <w:rFonts w:ascii="Times New Roman" w:hAnsi="Times New Roman" w:cs="Times New Roman"/>
          <w:sz w:val="24"/>
          <w:szCs w:val="24"/>
        </w:rPr>
        <w:t>veřejné zdraví, rizika pro spotřebitele</w:t>
      </w:r>
    </w:p>
    <w:p w:rsidR="009A3B2A" w:rsidRDefault="009A3B2A" w:rsidP="009A3B2A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A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Dostupné z:</w:t>
      </w:r>
      <w:r w:rsidRPr="009A3B2A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4" w:history="1">
        <w:r w:rsidRPr="009A3B2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https://www.ncbi.nlm.nih.gov/pmc/articles/PMC5515989/</w:t>
        </w:r>
      </w:hyperlink>
    </w:p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celosvětově nejpoužívanějším herbicidem. Jedná se o širokospektrální herbicid, jehož spotřeba v zemědělství výrazně vzrostla po zavedení geneticky modifikovaných (GM) odrůd s tolerancí k herbicidům. Poté, co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roce 1974 zaveden, všechna posuzování pro registrační účely prokázala nízkou úroveň nebezpečnosti pro savce, nicméně Mezinárodní agentura pro výzkum rakoviny (IARC) došla v březnu 2015 k závěru, že je pravděpodobně karcinogenní. Závěry IARC nebyly potvrzeny s využitím dodatečných důkazů ani hodnocením EU, ani současným společným hodnocením </w:t>
      </w:r>
      <w:r w:rsidRPr="00F4144E">
        <w:rPr>
          <w:rFonts w:ascii="Times New Roman" w:hAnsi="Times New Roman" w:cs="Times New Roman"/>
          <w:sz w:val="24"/>
          <w:szCs w:val="24"/>
        </w:rPr>
        <w:t>WHO/FAO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Glyfosát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 prvním rozporem mezi hodnocením IARC a posuzováním pro registrační účely, ale dostalo se mu větší pozornosti.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prezentovány vědecké základy posuzování vlivu </w:t>
      </w:r>
      <w:proofErr w:type="spellStart"/>
      <w:r>
        <w:rPr>
          <w:rFonts w:ascii="Times New Roman" w:hAnsi="Times New Roman" w:cs="Times New Roman"/>
          <w:sz w:val="24"/>
          <w:szCs w:val="24"/>
        </w:rPr>
        <w:t>glyfosátu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zdraví prováděného v rámci procesu obnovení jeho registrace v EU a vysvětleny rozdíly při hodnocení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karcinogenity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provedeném IARC. Použití rozdílných datových souborů, především dlouhodobé toxicity/</w:t>
      </w:r>
      <w:proofErr w:type="spellStart"/>
      <w:r>
        <w:rPr>
          <w:rFonts w:ascii="Times New Roman" w:hAnsi="Times New Roman" w:cs="Times New Roman"/>
          <w:sz w:val="24"/>
          <w:szCs w:val="24"/>
        </w:rPr>
        <w:t>karcinogenity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hlodavce, může částečně vysvětlit rozdílné pohledy, ale byly nalezeny metodologické rozdíly v hodnocení dostupných důkazů. Hodnocení EU neshledalo nebezpečí </w:t>
      </w:r>
      <w:proofErr w:type="spellStart"/>
      <w:r>
        <w:rPr>
          <w:rFonts w:ascii="Times New Roman" w:hAnsi="Times New Roman" w:cs="Times New Roman"/>
          <w:sz w:val="24"/>
          <w:szCs w:val="24"/>
        </w:rPr>
        <w:t>karcinogenity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revidovalo toxikologický profil s navržením nových toxikologických referenčních hodnot a provedlo hodnocení rizika pro některá reprezentativní použití. Dvě doplňující se hodnocení expozice, biomonitoring v lidské populaci a monitoring reziduí v potravě dokládají, že dosažené úrovně expozice jsou pod referenčními hodnotami </w:t>
      </w:r>
      <w:r w:rsidRPr="00F414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nezakládají důvod k obavám veřejnosti. </w:t>
      </w:r>
    </w:p>
    <w:p w:rsidR="009A3B2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2A" w:rsidRPr="007460DA" w:rsidRDefault="009A3B2A" w:rsidP="009A3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A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prof. Ing. Josef Soukup, CSc., ČZU v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B2A">
        <w:rPr>
          <w:rFonts w:ascii="Times New Roman" w:hAnsi="Times New Roman" w:cs="Times New Roman"/>
          <w:sz w:val="24"/>
          <w:szCs w:val="24"/>
        </w:rPr>
        <w:t>soukup@af.czu.cz</w:t>
      </w:r>
    </w:p>
    <w:p w:rsidR="00386857" w:rsidRDefault="00386857"/>
    <w:sectPr w:rsidR="0038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2A"/>
    <w:rsid w:val="00386857"/>
    <w:rsid w:val="009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C570-BA43-4737-AE5C-18521364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B2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3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mc/articles/PMC5515989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2018-11-27T12:07:00Z</dcterms:created>
  <dcterms:modified xsi:type="dcterms:W3CDTF">2018-11-27T12:10:00Z</dcterms:modified>
</cp:coreProperties>
</file>