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6" w:rsidRPr="002B63D3" w:rsidRDefault="00E31646" w:rsidP="002B63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63D3">
        <w:rPr>
          <w:rFonts w:ascii="Times New Roman" w:hAnsi="Times New Roman" w:cs="Times New Roman"/>
          <w:b/>
          <w:sz w:val="24"/>
          <w:szCs w:val="24"/>
        </w:rPr>
        <w:t xml:space="preserve">Léčba mastitid – snížení používání antibiotik </w:t>
      </w:r>
      <w:r w:rsidR="00A12D2E" w:rsidRPr="002B63D3">
        <w:rPr>
          <w:rFonts w:ascii="Times New Roman" w:hAnsi="Times New Roman" w:cs="Times New Roman"/>
          <w:b/>
          <w:sz w:val="24"/>
          <w:szCs w:val="24"/>
        </w:rPr>
        <w:t>u dojeného skotu</w:t>
      </w:r>
    </w:p>
    <w:p w:rsidR="002B63D3" w:rsidRDefault="002B63D3" w:rsidP="002B63D3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1646" w:rsidRPr="002B63D3" w:rsidRDefault="00E31646" w:rsidP="002B63D3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Mastitis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treatment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Reduction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antibiotic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usage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cows</w:t>
      </w:r>
      <w:proofErr w:type="spellEnd"/>
    </w:p>
    <w:p w:rsidR="002B63D3" w:rsidRDefault="002B63D3" w:rsidP="002B63D3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1646" w:rsidRPr="002B63D3" w:rsidRDefault="00E31646" w:rsidP="002B63D3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Krömker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V., </w:t>
      </w:r>
      <w:proofErr w:type="spellStart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Leimbach</w:t>
      </w:r>
      <w:proofErr w:type="spellEnd"/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S.</w:t>
      </w:r>
    </w:p>
    <w:p w:rsid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1646" w:rsidRPr="002B63D3" w:rsidRDefault="00E31646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Krömker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V.,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Leimbach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(2017). Mastitis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treatment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Reduction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antibiotic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usage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cows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2B63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Reproduction</w:t>
      </w:r>
      <w:proofErr w:type="spellEnd"/>
      <w:r w:rsidRPr="002B63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B63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Domestic</w:t>
      </w:r>
      <w:proofErr w:type="spellEnd"/>
      <w:r w:rsidRPr="002B63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63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Animals</w:t>
      </w:r>
      <w:proofErr w:type="spellEnd"/>
      <w:r w:rsidRPr="002B63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 52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Suppl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3). 21 - 29. DOI: 10.1111/rda.13032</w:t>
      </w:r>
    </w:p>
    <w:p w:rsid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1646" w:rsidRPr="002B63D3" w:rsidRDefault="00E31646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Klíčová slova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rezistence </w:t>
      </w:r>
      <w:r w:rsidR="00FD0BAE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mikroorganismů vůči antibiotikům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mlékařství, ošetření při zaprahování, léčba mastitid založená na důkazech</w:t>
      </w:r>
    </w:p>
    <w:p w:rsid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1646" w:rsidRPr="002B63D3" w:rsidRDefault="00E31646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Dostupný z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5" w:history="1">
        <w:r w:rsidRPr="002B63D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https://www.ncbi.nlm.nih.gov/pubmed/28815847</w:t>
        </w:r>
      </w:hyperlink>
    </w:p>
    <w:p w:rsid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51694" w:rsidRPr="002B63D3" w:rsidRDefault="00622D6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Prakticky nezbytnou podmínkou pro udržení zdraví mléčné žlázy se stalo používání antibiotik, které ovšem vede ke vzniku a </w:t>
      </w:r>
      <w:r w:rsidR="00033438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šíření antibiotické rezistence. 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Data z roku 2014 hovoří o sedmi stech tisíc lidí, kteří ročně zemřou na infekce způsobené 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</w:t>
      </w:r>
      <w:r w:rsidR="00033438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ltirezistentními</w:t>
      </w:r>
      <w:proofErr w:type="spellEnd"/>
      <w:r w:rsidR="00033438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kmeny bakterií. 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Proto Světová zdravotnická organizace (WHO) a další vyhlásily iniciativy zabraňující dalšímu šíření rezistencí. </w:t>
      </w:r>
    </w:p>
    <w:p w:rsidR="002A2F3A" w:rsidRPr="002B63D3" w:rsidRDefault="00622D6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Antibiotika v chovech dojeného skotu jsou primárně podávána k léčbě mastitid. </w:t>
      </w:r>
      <w:r w:rsidR="00FF47E0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Jako naprosto klíčové se jeví, aby léčba antibiotiky byla založena na klinickém stupni mastitidy a přesné identifikaci patogenů ještě před zahájením léčby. </w:t>
      </w:r>
    </w:p>
    <w:p w:rsidR="00051694" w:rsidRPr="002B63D3" w:rsidRDefault="00FF47E0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Zásadní otázka zní, zda patogen </w:t>
      </w:r>
      <w:r w:rsidR="00051694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způsobující mastitidu 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vyžaduje léčbu antibiotiky</w:t>
      </w:r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Problém je, že se po antibiotické léčbě sahá ještě dříve, než jsou vyhotoveny výsledky mikrobiologického vyšetření, přitom 19 až 46 procent vzorků bývá bakteriologicky negativních a další procenta jsou sice pozitivní, ale mnohdy se jedná o patogeny nevyžadující léčbu antibiotiky (například </w:t>
      </w:r>
      <w:r w:rsidR="002A2F3A"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E. </w:t>
      </w:r>
      <w:proofErr w:type="gramStart"/>
      <w:r w:rsidR="002A2F3A"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coli</w:t>
      </w:r>
      <w:proofErr w:type="gramEnd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A2F3A"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Mycoplasma</w:t>
      </w:r>
      <w:proofErr w:type="spellEnd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spp</w:t>
      </w:r>
      <w:proofErr w:type="spellEnd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 </w:t>
      </w:r>
      <w:proofErr w:type="spellStart"/>
      <w:r w:rsidR="002A2F3A"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Prototheca</w:t>
      </w:r>
      <w:proofErr w:type="spellEnd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spp</w:t>
      </w:r>
      <w:proofErr w:type="spellEnd"/>
      <w:r w:rsidR="002A2F3A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nebo kvasinky). Je možné pro jednoduchou identifikaci bakterií využít metody stájové kultivace, která dává výsledky do 24 hodin, přičemž odložení podání antibiotik o 24 hodin nemá žádný negativní efekt na celkové vyléčení, pokud se nejdříve použije protizánětlivá léčba.</w:t>
      </w:r>
      <w:r w:rsidR="00051694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Podle Evropské komise je také potřeba se zcela vyvarovat systematickému podávání antibiotik při zaprahování, antibiotika by měla být podána pouze po identifikaci patogenů. Nové případy infekcí v době stání na sucho lze snížit i jinými, méně kontroverzními metodami, například použitím strukových zátek a zlepšení</w:t>
      </w:r>
      <w:r w:rsidR="0061553F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051694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hygieny prostředí.</w:t>
      </w:r>
    </w:p>
    <w:p w:rsidR="00033438" w:rsidRPr="002B63D3" w:rsidRDefault="00033438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Někteří chovatelé zkouší </w:t>
      </w:r>
      <w:r w:rsidR="00D256F2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také </w:t>
      </w:r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využívat alternativní způsoby léčby (látky zlepšující imunitu (</w:t>
      </w:r>
      <w:proofErr w:type="spellStart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laktoferin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rostlinné výtažky (</w:t>
      </w:r>
      <w:proofErr w:type="spellStart"/>
      <w:r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Rhodomyrtus</w:t>
      </w:r>
      <w:proofErr w:type="spellEnd"/>
      <w:r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63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tomentosa</w:t>
      </w:r>
      <w:proofErr w:type="spellEnd"/>
      <w:r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vakcíny nebo homeopatika), které v budoucnu pravděpodobně budou zaujímat své místo a nahradí nebo doplní antibiotickou terapii. Ovšem zatím neexistují studie, které by dostatečně prokazovaly účinnost těchto metod.  </w:t>
      </w:r>
    </w:p>
    <w:p w:rsid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1646" w:rsidRPr="002B63D3" w:rsidRDefault="002B63D3" w:rsidP="002B63D3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Zpracovali</w:t>
      </w:r>
      <w:bookmarkStart w:id="0" w:name="_GoBack"/>
      <w:bookmarkEnd w:id="0"/>
      <w:r w:rsidR="00E31646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2B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Ing. Luděk Bartoň, Ph.D., </w:t>
      </w:r>
      <w:r w:rsidR="00E31646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Magdaléna Štolcová, Výzkumný ústav živočišné výroby</w:t>
      </w:r>
      <w:r w:rsidR="00D256F2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v. i., Praha</w:t>
      </w:r>
      <w:r w:rsidR="00E31646" w:rsidRPr="002B6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Uhříněves, </w:t>
      </w:r>
      <w:hyperlink r:id="rId6" w:history="1">
        <w:r w:rsidRPr="00C71D8C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barton.ludek@vuzv.cz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31646" w:rsidRPr="002B63D3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stolcova.magdalena@vuzv.cz</w:t>
        </w:r>
      </w:hyperlink>
    </w:p>
    <w:p w:rsidR="002B63D3" w:rsidRDefault="002B63D3" w:rsidP="002B63D3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B63D3" w:rsidRDefault="002B63D3" w:rsidP="002B63D3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587AC6" w:rsidRPr="002B63D3" w:rsidRDefault="002B63D3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587AC6" w:rsidRPr="002B63D3" w:rsidRDefault="00587AC6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7AC6" w:rsidRPr="002B63D3" w:rsidRDefault="00587AC6" w:rsidP="002B63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587AC6" w:rsidRPr="002B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6"/>
    <w:rsid w:val="00033438"/>
    <w:rsid w:val="00051694"/>
    <w:rsid w:val="0008643A"/>
    <w:rsid w:val="001A1B88"/>
    <w:rsid w:val="00293A2B"/>
    <w:rsid w:val="002A2F3A"/>
    <w:rsid w:val="002B63D3"/>
    <w:rsid w:val="00520980"/>
    <w:rsid w:val="00587AC6"/>
    <w:rsid w:val="0061553F"/>
    <w:rsid w:val="00622D63"/>
    <w:rsid w:val="00A12D2E"/>
    <w:rsid w:val="00D256F2"/>
    <w:rsid w:val="00E31646"/>
    <w:rsid w:val="00FD0BA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lcova.magdale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ton.ludek@vuzv.cz" TargetMode="External"/><Relationship Id="rId5" Type="http://schemas.openxmlformats.org/officeDocument/2006/relationships/hyperlink" Target="https://www.ncbi.nlm.nih.gov/pubmed/288158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Uživatel</cp:lastModifiedBy>
  <cp:revision>3</cp:revision>
  <dcterms:created xsi:type="dcterms:W3CDTF">2018-06-22T20:22:00Z</dcterms:created>
  <dcterms:modified xsi:type="dcterms:W3CDTF">2018-06-23T11:34:00Z</dcterms:modified>
</cp:coreProperties>
</file>