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07" w:rsidRPr="00BC6A31" w:rsidRDefault="00654F07" w:rsidP="00BC6A31">
      <w:pPr>
        <w:spacing w:after="0" w:line="240" w:lineRule="auto"/>
        <w:contextualSpacing/>
        <w:rPr>
          <w:rFonts w:ascii="Times New Roman" w:hAnsi="Times New Roman" w:cs="Times New Roman"/>
          <w:b/>
          <w:sz w:val="24"/>
          <w:szCs w:val="24"/>
        </w:rPr>
      </w:pPr>
      <w:r w:rsidRPr="00BC6A31">
        <w:rPr>
          <w:rFonts w:ascii="Times New Roman" w:hAnsi="Times New Roman" w:cs="Times New Roman"/>
          <w:b/>
          <w:sz w:val="24"/>
          <w:szCs w:val="24"/>
        </w:rPr>
        <w:t xml:space="preserve">Rozdíly v produktivitě a kvalitě píce trav vlivem zvýšené koncentrace </w:t>
      </w:r>
      <w:r w:rsidRPr="00BC6A31">
        <w:rPr>
          <w:rFonts w:ascii="Times New Roman" w:hAnsi="Times New Roman" w:cs="Times New Roman"/>
          <w:b/>
          <w:color w:val="222222"/>
          <w:sz w:val="24"/>
          <w:szCs w:val="24"/>
          <w:shd w:val="clear" w:color="auto" w:fill="FFFFFF"/>
          <w:lang w:val="en-US"/>
        </w:rPr>
        <w:t>CO</w:t>
      </w:r>
      <w:r w:rsidRPr="00BC6A31">
        <w:rPr>
          <w:rFonts w:ascii="Times New Roman" w:hAnsi="Times New Roman" w:cs="Times New Roman"/>
          <w:b/>
          <w:color w:val="222222"/>
          <w:sz w:val="24"/>
          <w:szCs w:val="24"/>
          <w:shd w:val="clear" w:color="auto" w:fill="FFFFFF"/>
          <w:vertAlign w:val="subscript"/>
          <w:lang w:val="en-US"/>
        </w:rPr>
        <w:t>2</w:t>
      </w:r>
      <w:r w:rsidRPr="00BC6A31">
        <w:rPr>
          <w:rFonts w:ascii="Times New Roman" w:hAnsi="Times New Roman" w:cs="Times New Roman"/>
          <w:b/>
          <w:sz w:val="24"/>
          <w:szCs w:val="24"/>
        </w:rPr>
        <w:t xml:space="preserve"> a snížené dostupnosti vody</w:t>
      </w:r>
    </w:p>
    <w:p w:rsidR="00BC6A31" w:rsidRDefault="00BC6A31" w:rsidP="00BC6A31">
      <w:pPr>
        <w:spacing w:after="0" w:line="240" w:lineRule="auto"/>
        <w:contextualSpacing/>
        <w:rPr>
          <w:rFonts w:ascii="Times New Roman" w:hAnsi="Times New Roman" w:cs="Times New Roman"/>
          <w:b/>
          <w:color w:val="222222"/>
          <w:sz w:val="24"/>
          <w:szCs w:val="24"/>
          <w:shd w:val="clear" w:color="auto" w:fill="FFFFFF"/>
          <w:lang w:val="en-US"/>
        </w:rPr>
      </w:pPr>
    </w:p>
    <w:p w:rsidR="00654F07" w:rsidRPr="00BC6A31" w:rsidRDefault="00654F07" w:rsidP="00BC6A31">
      <w:pPr>
        <w:spacing w:after="0" w:line="240" w:lineRule="auto"/>
        <w:contextualSpacing/>
        <w:rPr>
          <w:rFonts w:ascii="Times New Roman" w:hAnsi="Times New Roman" w:cs="Times New Roman"/>
          <w:b/>
          <w:color w:val="222222"/>
          <w:sz w:val="24"/>
          <w:szCs w:val="24"/>
          <w:shd w:val="clear" w:color="auto" w:fill="FFFFFF"/>
          <w:lang w:val="en-US"/>
        </w:rPr>
      </w:pPr>
      <w:r w:rsidRPr="00BC6A31">
        <w:rPr>
          <w:rFonts w:ascii="Times New Roman" w:hAnsi="Times New Roman" w:cs="Times New Roman"/>
          <w:b/>
          <w:color w:val="222222"/>
          <w:sz w:val="24"/>
          <w:szCs w:val="24"/>
          <w:shd w:val="clear" w:color="auto" w:fill="FFFFFF"/>
          <w:lang w:val="en-US"/>
        </w:rPr>
        <w:t>Variability in grass forage quality and quantity in response to elevated CO</w:t>
      </w:r>
      <w:r w:rsidRPr="00BC6A31">
        <w:rPr>
          <w:rFonts w:ascii="Times New Roman" w:hAnsi="Times New Roman" w:cs="Times New Roman"/>
          <w:b/>
          <w:color w:val="222222"/>
          <w:sz w:val="24"/>
          <w:szCs w:val="24"/>
          <w:shd w:val="clear" w:color="auto" w:fill="FFFFFF"/>
          <w:vertAlign w:val="subscript"/>
          <w:lang w:val="en-US"/>
        </w:rPr>
        <w:t>2</w:t>
      </w:r>
      <w:r w:rsidRPr="00BC6A31">
        <w:rPr>
          <w:rFonts w:ascii="Times New Roman" w:hAnsi="Times New Roman" w:cs="Times New Roman"/>
          <w:b/>
          <w:color w:val="222222"/>
          <w:sz w:val="24"/>
          <w:szCs w:val="24"/>
          <w:shd w:val="clear" w:color="auto" w:fill="FFFFFF"/>
          <w:lang w:val="en-US"/>
        </w:rPr>
        <w:t xml:space="preserve"> and water limitation</w:t>
      </w:r>
    </w:p>
    <w:p w:rsidR="00BC6A31" w:rsidRDefault="00BC6A31" w:rsidP="00BC6A31">
      <w:pPr>
        <w:spacing w:after="0" w:line="240" w:lineRule="auto"/>
        <w:contextualSpacing/>
        <w:jc w:val="both"/>
        <w:rPr>
          <w:rFonts w:ascii="Times New Roman" w:hAnsi="Times New Roman" w:cs="Times New Roman"/>
          <w:b/>
          <w:color w:val="222222"/>
          <w:sz w:val="24"/>
          <w:szCs w:val="24"/>
          <w:shd w:val="clear" w:color="auto" w:fill="FFFFFF"/>
        </w:rPr>
      </w:pPr>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proofErr w:type="spellStart"/>
      <w:r w:rsidRPr="00BC6A31">
        <w:rPr>
          <w:rFonts w:ascii="Times New Roman" w:hAnsi="Times New Roman" w:cs="Times New Roman"/>
          <w:b/>
          <w:color w:val="222222"/>
          <w:sz w:val="24"/>
          <w:szCs w:val="24"/>
          <w:shd w:val="clear" w:color="auto" w:fill="FFFFFF"/>
        </w:rPr>
        <w:t>McGranaham</w:t>
      </w:r>
      <w:proofErr w:type="spellEnd"/>
      <w:r w:rsidRPr="00BC6A31">
        <w:rPr>
          <w:rFonts w:ascii="Times New Roman" w:hAnsi="Times New Roman" w:cs="Times New Roman"/>
          <w:b/>
          <w:color w:val="222222"/>
          <w:sz w:val="24"/>
          <w:szCs w:val="24"/>
          <w:shd w:val="clear" w:color="auto" w:fill="FFFFFF"/>
        </w:rPr>
        <w:t xml:space="preserve">, D:A., </w:t>
      </w:r>
      <w:proofErr w:type="spellStart"/>
      <w:r w:rsidRPr="00BC6A31">
        <w:rPr>
          <w:rFonts w:ascii="Times New Roman" w:hAnsi="Times New Roman" w:cs="Times New Roman"/>
          <w:b/>
          <w:color w:val="222222"/>
          <w:sz w:val="24"/>
          <w:szCs w:val="24"/>
          <w:shd w:val="clear" w:color="auto" w:fill="FFFFFF"/>
        </w:rPr>
        <w:t>Yurkonis</w:t>
      </w:r>
      <w:proofErr w:type="spellEnd"/>
      <w:r w:rsidRPr="00BC6A31">
        <w:rPr>
          <w:rFonts w:ascii="Times New Roman" w:hAnsi="Times New Roman" w:cs="Times New Roman"/>
          <w:b/>
          <w:color w:val="222222"/>
          <w:sz w:val="24"/>
          <w:szCs w:val="24"/>
          <w:shd w:val="clear" w:color="auto" w:fill="FFFFFF"/>
        </w:rPr>
        <w:t xml:space="preserve">, </w:t>
      </w:r>
      <w:proofErr w:type="gramStart"/>
      <w:r w:rsidRPr="00BC6A31">
        <w:rPr>
          <w:rFonts w:ascii="Times New Roman" w:hAnsi="Times New Roman" w:cs="Times New Roman"/>
          <w:b/>
          <w:color w:val="222222"/>
          <w:sz w:val="24"/>
          <w:szCs w:val="24"/>
          <w:shd w:val="clear" w:color="auto" w:fill="FFFFFF"/>
        </w:rPr>
        <w:t>K.A.</w:t>
      </w:r>
      <w:proofErr w:type="gramEnd"/>
      <w:r w:rsidRPr="00BC6A31">
        <w:rPr>
          <w:rFonts w:ascii="Times New Roman" w:hAnsi="Times New Roman" w:cs="Times New Roman"/>
          <w:color w:val="222222"/>
          <w:sz w:val="24"/>
          <w:szCs w:val="24"/>
          <w:shd w:val="clear" w:color="auto" w:fill="FFFFFF"/>
        </w:rPr>
        <w:t xml:space="preserve"> (2018). </w:t>
      </w:r>
      <w:r w:rsidRPr="00BC6A31">
        <w:rPr>
          <w:rFonts w:ascii="Times New Roman" w:hAnsi="Times New Roman" w:cs="Times New Roman"/>
          <w:b/>
          <w:color w:val="222222"/>
          <w:sz w:val="24"/>
          <w:szCs w:val="24"/>
          <w:shd w:val="clear" w:color="auto" w:fill="FFFFFF"/>
          <w:lang w:val="en-US"/>
        </w:rPr>
        <w:t>Variability in grass forage quality and quantity in response to elevated CO</w:t>
      </w:r>
      <w:r w:rsidRPr="00BC6A31">
        <w:rPr>
          <w:rFonts w:ascii="Times New Roman" w:hAnsi="Times New Roman" w:cs="Times New Roman"/>
          <w:b/>
          <w:color w:val="222222"/>
          <w:sz w:val="24"/>
          <w:szCs w:val="24"/>
          <w:shd w:val="clear" w:color="auto" w:fill="FFFFFF"/>
          <w:vertAlign w:val="subscript"/>
          <w:lang w:val="en-US"/>
        </w:rPr>
        <w:t>2</w:t>
      </w:r>
      <w:r w:rsidRPr="00BC6A31">
        <w:rPr>
          <w:rFonts w:ascii="Times New Roman" w:hAnsi="Times New Roman" w:cs="Times New Roman"/>
          <w:b/>
          <w:color w:val="222222"/>
          <w:sz w:val="24"/>
          <w:szCs w:val="24"/>
          <w:shd w:val="clear" w:color="auto" w:fill="FFFFFF"/>
          <w:lang w:val="en-US"/>
        </w:rPr>
        <w:t xml:space="preserve"> and water limitation</w:t>
      </w:r>
      <w:r w:rsidRPr="00BC6A31">
        <w:rPr>
          <w:rFonts w:ascii="Times New Roman" w:hAnsi="Times New Roman" w:cs="Times New Roman"/>
          <w:color w:val="222222"/>
          <w:sz w:val="24"/>
          <w:szCs w:val="24"/>
          <w:shd w:val="clear" w:color="auto" w:fill="FFFFFF"/>
        </w:rPr>
        <w:t>. </w:t>
      </w:r>
      <w:r w:rsidRPr="00BC6A31">
        <w:rPr>
          <w:rFonts w:ascii="Times New Roman" w:hAnsi="Times New Roman" w:cs="Times New Roman"/>
          <w:i/>
          <w:color w:val="222222"/>
          <w:sz w:val="24"/>
          <w:szCs w:val="24"/>
          <w:shd w:val="clear" w:color="auto" w:fill="FFFFFF"/>
        </w:rPr>
        <w:t xml:space="preserve">Grass </w:t>
      </w:r>
      <w:proofErr w:type="spellStart"/>
      <w:r w:rsidRPr="00BC6A31">
        <w:rPr>
          <w:rFonts w:ascii="Times New Roman" w:hAnsi="Times New Roman" w:cs="Times New Roman"/>
          <w:i/>
          <w:color w:val="222222"/>
          <w:sz w:val="24"/>
          <w:szCs w:val="24"/>
          <w:shd w:val="clear" w:color="auto" w:fill="FFFFFF"/>
        </w:rPr>
        <w:t>Forage</w:t>
      </w:r>
      <w:proofErr w:type="spellEnd"/>
      <w:r w:rsidRPr="00BC6A31">
        <w:rPr>
          <w:rFonts w:ascii="Times New Roman" w:hAnsi="Times New Roman" w:cs="Times New Roman"/>
          <w:i/>
          <w:color w:val="222222"/>
          <w:sz w:val="24"/>
          <w:szCs w:val="24"/>
          <w:shd w:val="clear" w:color="auto" w:fill="FFFFFF"/>
        </w:rPr>
        <w:t xml:space="preserve"> Science</w:t>
      </w:r>
      <w:r w:rsidRPr="00BC6A31">
        <w:rPr>
          <w:rFonts w:ascii="Times New Roman" w:hAnsi="Times New Roman" w:cs="Times New Roman"/>
          <w:i/>
          <w:iCs/>
          <w:color w:val="222222"/>
          <w:sz w:val="24"/>
          <w:szCs w:val="24"/>
          <w:shd w:val="clear" w:color="auto" w:fill="FFFFFF"/>
        </w:rPr>
        <w:t>. 73</w:t>
      </w:r>
      <w:r w:rsidRPr="00BC6A31">
        <w:rPr>
          <w:rFonts w:ascii="Times New Roman" w:hAnsi="Times New Roman" w:cs="Times New Roman"/>
          <w:color w:val="222222"/>
          <w:sz w:val="24"/>
          <w:szCs w:val="24"/>
          <w:shd w:val="clear" w:color="auto" w:fill="FFFFFF"/>
        </w:rPr>
        <w:t>. 517 - 521. DOI: 10.1111/gfs.12338</w:t>
      </w:r>
    </w:p>
    <w:p w:rsidR="00BC6A31" w:rsidRDefault="00BC6A31" w:rsidP="00BC6A31">
      <w:pPr>
        <w:spacing w:after="0" w:line="240" w:lineRule="auto"/>
        <w:contextualSpacing/>
        <w:jc w:val="both"/>
        <w:rPr>
          <w:rFonts w:ascii="Times New Roman" w:hAnsi="Times New Roman" w:cs="Times New Roman"/>
          <w:b/>
          <w:color w:val="222222"/>
          <w:sz w:val="24"/>
          <w:szCs w:val="24"/>
          <w:shd w:val="clear" w:color="auto" w:fill="FFFFFF"/>
        </w:rPr>
      </w:pPr>
      <w:bookmarkStart w:id="0" w:name="_GoBack"/>
      <w:bookmarkEnd w:id="0"/>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r w:rsidRPr="00BC6A31">
        <w:rPr>
          <w:rFonts w:ascii="Times New Roman" w:hAnsi="Times New Roman" w:cs="Times New Roman"/>
          <w:b/>
          <w:color w:val="222222"/>
          <w:sz w:val="24"/>
          <w:szCs w:val="24"/>
          <w:shd w:val="clear" w:color="auto" w:fill="FFFFFF"/>
        </w:rPr>
        <w:t>Klíčová slova</w:t>
      </w:r>
      <w:r w:rsidRPr="00BC6A31">
        <w:rPr>
          <w:rFonts w:ascii="Times New Roman" w:hAnsi="Times New Roman" w:cs="Times New Roman"/>
          <w:color w:val="222222"/>
          <w:sz w:val="24"/>
          <w:szCs w:val="24"/>
          <w:shd w:val="clear" w:color="auto" w:fill="FFFFFF"/>
        </w:rPr>
        <w:t xml:space="preserve">: atmosférické hnojení uhlíkem, C3 a C4 trávy, dusíkaté </w:t>
      </w:r>
      <w:proofErr w:type="gramStart"/>
      <w:r w:rsidRPr="00BC6A31">
        <w:rPr>
          <w:rFonts w:ascii="Times New Roman" w:hAnsi="Times New Roman" w:cs="Times New Roman"/>
          <w:color w:val="222222"/>
          <w:sz w:val="24"/>
          <w:szCs w:val="24"/>
          <w:shd w:val="clear" w:color="auto" w:fill="FFFFFF"/>
        </w:rPr>
        <w:t>látky, U.S.</w:t>
      </w:r>
      <w:proofErr w:type="gramEnd"/>
      <w:r w:rsidRPr="00BC6A31">
        <w:rPr>
          <w:rFonts w:ascii="Times New Roman" w:hAnsi="Times New Roman" w:cs="Times New Roman"/>
          <w:color w:val="222222"/>
          <w:sz w:val="24"/>
          <w:szCs w:val="24"/>
          <w:shd w:val="clear" w:color="auto" w:fill="FFFFFF"/>
        </w:rPr>
        <w:t xml:space="preserve"> Great Plains</w:t>
      </w:r>
    </w:p>
    <w:p w:rsidR="00BC6A31" w:rsidRDefault="00BC6A31" w:rsidP="00BC6A31">
      <w:pPr>
        <w:spacing w:after="0" w:line="240" w:lineRule="auto"/>
        <w:contextualSpacing/>
        <w:jc w:val="both"/>
        <w:rPr>
          <w:rFonts w:ascii="Times New Roman" w:hAnsi="Times New Roman" w:cs="Times New Roman"/>
          <w:b/>
          <w:color w:val="222222"/>
          <w:sz w:val="24"/>
          <w:szCs w:val="24"/>
          <w:shd w:val="clear" w:color="auto" w:fill="FFFFFF"/>
        </w:rPr>
      </w:pPr>
    </w:p>
    <w:p w:rsidR="00654F07" w:rsidRPr="00BC6A31" w:rsidRDefault="00654F07" w:rsidP="00BC6A31">
      <w:pPr>
        <w:spacing w:after="0" w:line="240" w:lineRule="auto"/>
        <w:contextualSpacing/>
        <w:jc w:val="both"/>
        <w:rPr>
          <w:rFonts w:ascii="Times New Roman" w:hAnsi="Times New Roman" w:cs="Times New Roman"/>
          <w:sz w:val="24"/>
          <w:szCs w:val="24"/>
        </w:rPr>
      </w:pPr>
      <w:r w:rsidRPr="00BC6A31">
        <w:rPr>
          <w:rFonts w:ascii="Times New Roman" w:hAnsi="Times New Roman" w:cs="Times New Roman"/>
          <w:b/>
          <w:color w:val="222222"/>
          <w:sz w:val="24"/>
          <w:szCs w:val="24"/>
          <w:shd w:val="clear" w:color="auto" w:fill="FFFFFF"/>
        </w:rPr>
        <w:t>Dostupný z</w:t>
      </w:r>
      <w:r w:rsidRPr="00BC6A31">
        <w:rPr>
          <w:rFonts w:ascii="Times New Roman" w:hAnsi="Times New Roman" w:cs="Times New Roman"/>
          <w:color w:val="222222"/>
          <w:sz w:val="24"/>
          <w:szCs w:val="24"/>
          <w:shd w:val="clear" w:color="auto" w:fill="FFFFFF"/>
        </w:rPr>
        <w:t xml:space="preserve">: </w:t>
      </w:r>
      <w:r w:rsidRPr="00BC6A31">
        <w:rPr>
          <w:rFonts w:ascii="Times New Roman" w:hAnsi="Times New Roman" w:cs="Times New Roman"/>
          <w:sz w:val="24"/>
          <w:szCs w:val="24"/>
        </w:rPr>
        <w:t>https://onlinelibrary.wiley.com/doi/abs/10.1111/gfs.12338</w:t>
      </w:r>
    </w:p>
    <w:p w:rsidR="00BC6A31" w:rsidRDefault="00BC6A31" w:rsidP="00BC6A31">
      <w:pPr>
        <w:spacing w:after="0" w:line="240" w:lineRule="auto"/>
        <w:contextualSpacing/>
        <w:jc w:val="both"/>
        <w:rPr>
          <w:rFonts w:ascii="Times New Roman" w:hAnsi="Times New Roman" w:cs="Times New Roman"/>
          <w:sz w:val="24"/>
          <w:szCs w:val="24"/>
        </w:rPr>
      </w:pPr>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r w:rsidRPr="00BC6A31">
        <w:rPr>
          <w:rFonts w:ascii="Times New Roman" w:hAnsi="Times New Roman" w:cs="Times New Roman"/>
          <w:sz w:val="24"/>
          <w:szCs w:val="24"/>
        </w:rPr>
        <w:t>Očekává se, že klimatická změna bude mít výrazný dopad na koncentrace CO</w:t>
      </w:r>
      <w:r w:rsidRPr="00BC6A31">
        <w:rPr>
          <w:rFonts w:ascii="Times New Roman" w:hAnsi="Times New Roman" w:cs="Times New Roman"/>
          <w:sz w:val="24"/>
          <w:szCs w:val="24"/>
          <w:vertAlign w:val="subscript"/>
        </w:rPr>
        <w:t>2</w:t>
      </w:r>
      <w:r w:rsidRPr="00BC6A31">
        <w:rPr>
          <w:rFonts w:ascii="Times New Roman" w:hAnsi="Times New Roman" w:cs="Times New Roman"/>
          <w:sz w:val="24"/>
          <w:szCs w:val="24"/>
        </w:rPr>
        <w:t xml:space="preserve"> v atmosféře i na dostupnost vody pro pěstované plodiny. Atmosférická koncentrace CO</w:t>
      </w:r>
      <w:r w:rsidRPr="00BC6A31">
        <w:rPr>
          <w:rFonts w:ascii="Times New Roman" w:hAnsi="Times New Roman" w:cs="Times New Roman"/>
          <w:sz w:val="24"/>
          <w:szCs w:val="24"/>
          <w:vertAlign w:val="subscript"/>
        </w:rPr>
        <w:t xml:space="preserve">2 </w:t>
      </w:r>
      <w:r w:rsidRPr="00BC6A31">
        <w:rPr>
          <w:rFonts w:ascii="Times New Roman" w:hAnsi="Times New Roman" w:cs="Times New Roman"/>
          <w:sz w:val="24"/>
          <w:szCs w:val="24"/>
        </w:rPr>
        <w:t xml:space="preserve">vzrostla z 277 </w:t>
      </w:r>
      <w:proofErr w:type="spellStart"/>
      <w:r w:rsidRPr="00BC6A31">
        <w:rPr>
          <w:rFonts w:ascii="Times New Roman" w:hAnsi="Times New Roman" w:cs="Times New Roman"/>
          <w:sz w:val="24"/>
          <w:szCs w:val="24"/>
        </w:rPr>
        <w:t>ppm</w:t>
      </w:r>
      <w:proofErr w:type="spellEnd"/>
      <w:r w:rsidRPr="00BC6A31">
        <w:rPr>
          <w:rFonts w:ascii="Times New Roman" w:hAnsi="Times New Roman" w:cs="Times New Roman"/>
          <w:sz w:val="24"/>
          <w:szCs w:val="24"/>
        </w:rPr>
        <w:t xml:space="preserve"> v předindustriální éře na 391 </w:t>
      </w:r>
      <w:proofErr w:type="spellStart"/>
      <w:r w:rsidRPr="00BC6A31">
        <w:rPr>
          <w:rFonts w:ascii="Times New Roman" w:hAnsi="Times New Roman" w:cs="Times New Roman"/>
          <w:sz w:val="24"/>
          <w:szCs w:val="24"/>
        </w:rPr>
        <w:t>ppm</w:t>
      </w:r>
      <w:proofErr w:type="spellEnd"/>
      <w:r w:rsidRPr="00BC6A31">
        <w:rPr>
          <w:rFonts w:ascii="Times New Roman" w:hAnsi="Times New Roman" w:cs="Times New Roman"/>
          <w:sz w:val="24"/>
          <w:szCs w:val="24"/>
        </w:rPr>
        <w:t xml:space="preserve"> v roce 2011 s výhledem na zvýšení mezi 421 – 946 </w:t>
      </w:r>
      <w:proofErr w:type="spellStart"/>
      <w:r w:rsidRPr="00BC6A31">
        <w:rPr>
          <w:rFonts w:ascii="Times New Roman" w:hAnsi="Times New Roman" w:cs="Times New Roman"/>
          <w:sz w:val="24"/>
          <w:szCs w:val="24"/>
        </w:rPr>
        <w:t>ppm</w:t>
      </w:r>
      <w:proofErr w:type="spellEnd"/>
      <w:r w:rsidRPr="00BC6A31">
        <w:rPr>
          <w:rFonts w:ascii="Times New Roman" w:hAnsi="Times New Roman" w:cs="Times New Roman"/>
          <w:sz w:val="24"/>
          <w:szCs w:val="24"/>
        </w:rPr>
        <w:t xml:space="preserve"> podle různých emisních scénářů. Dopady těchto změn na zemědělskou produkci však zůstávají nejasné. Podobně jsou stále častější delší periody sucha střídané intenzivními srážkami. Je proto vhodné v simulovaných podmínkách ověřovat reakce travních porostů na kombinace těchto faktorů.</w:t>
      </w:r>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r w:rsidRPr="00BC6A31">
        <w:rPr>
          <w:rFonts w:ascii="Times New Roman" w:hAnsi="Times New Roman" w:cs="Times New Roman"/>
          <w:color w:val="222222"/>
          <w:sz w:val="24"/>
          <w:szCs w:val="24"/>
          <w:shd w:val="clear" w:color="auto" w:fill="FFFFFF"/>
        </w:rPr>
        <w:t xml:space="preserve">Vyšší koncentrace </w:t>
      </w:r>
      <w:r w:rsidRPr="00BC6A31">
        <w:rPr>
          <w:rFonts w:ascii="Times New Roman" w:hAnsi="Times New Roman" w:cs="Times New Roman"/>
          <w:sz w:val="24"/>
          <w:szCs w:val="24"/>
        </w:rPr>
        <w:t>CO</w:t>
      </w:r>
      <w:r w:rsidRPr="00BC6A31">
        <w:rPr>
          <w:rFonts w:ascii="Times New Roman" w:hAnsi="Times New Roman" w:cs="Times New Roman"/>
          <w:sz w:val="24"/>
          <w:szCs w:val="24"/>
          <w:vertAlign w:val="subscript"/>
        </w:rPr>
        <w:t xml:space="preserve">2 </w:t>
      </w:r>
      <w:r w:rsidRPr="00BC6A31">
        <w:rPr>
          <w:rFonts w:ascii="Times New Roman" w:hAnsi="Times New Roman" w:cs="Times New Roman"/>
          <w:sz w:val="24"/>
          <w:szCs w:val="24"/>
        </w:rPr>
        <w:t xml:space="preserve">(700 </w:t>
      </w:r>
      <w:proofErr w:type="spellStart"/>
      <w:r w:rsidRPr="00BC6A31">
        <w:rPr>
          <w:rFonts w:ascii="Times New Roman" w:hAnsi="Times New Roman" w:cs="Times New Roman"/>
          <w:sz w:val="24"/>
          <w:szCs w:val="24"/>
        </w:rPr>
        <w:t>ppm</w:t>
      </w:r>
      <w:proofErr w:type="spellEnd"/>
      <w:r w:rsidRPr="00BC6A31">
        <w:rPr>
          <w:rFonts w:ascii="Times New Roman" w:hAnsi="Times New Roman" w:cs="Times New Roman"/>
          <w:sz w:val="24"/>
          <w:szCs w:val="24"/>
        </w:rPr>
        <w:t xml:space="preserve">) zvyšuje výnos a kvalitu píce u </w:t>
      </w:r>
      <w:r w:rsidRPr="00BC6A31">
        <w:rPr>
          <w:rFonts w:ascii="Times New Roman" w:hAnsi="Times New Roman" w:cs="Times New Roman"/>
          <w:color w:val="222222"/>
          <w:sz w:val="24"/>
          <w:szCs w:val="24"/>
          <w:shd w:val="clear" w:color="auto" w:fill="FFFFFF"/>
        </w:rPr>
        <w:t>C</w:t>
      </w:r>
      <w:r w:rsidRPr="00BC6A31">
        <w:rPr>
          <w:rFonts w:ascii="Times New Roman" w:hAnsi="Times New Roman" w:cs="Times New Roman"/>
          <w:color w:val="222222"/>
          <w:sz w:val="24"/>
          <w:szCs w:val="24"/>
          <w:shd w:val="clear" w:color="auto" w:fill="FFFFFF"/>
          <w:vertAlign w:val="subscript"/>
        </w:rPr>
        <w:t xml:space="preserve">3 </w:t>
      </w:r>
      <w:r w:rsidRPr="00BC6A31">
        <w:rPr>
          <w:rFonts w:ascii="Times New Roman" w:hAnsi="Times New Roman" w:cs="Times New Roman"/>
          <w:color w:val="222222"/>
          <w:sz w:val="24"/>
          <w:szCs w:val="24"/>
          <w:shd w:val="clear" w:color="auto" w:fill="FFFFFF"/>
        </w:rPr>
        <w:t>i C</w:t>
      </w:r>
      <w:r w:rsidRPr="00BC6A31">
        <w:rPr>
          <w:rFonts w:ascii="Times New Roman" w:hAnsi="Times New Roman" w:cs="Times New Roman"/>
          <w:color w:val="222222"/>
          <w:sz w:val="24"/>
          <w:szCs w:val="24"/>
          <w:shd w:val="clear" w:color="auto" w:fill="FFFFFF"/>
          <w:vertAlign w:val="subscript"/>
        </w:rPr>
        <w:t xml:space="preserve">4 </w:t>
      </w:r>
      <w:r w:rsidRPr="00BC6A31">
        <w:rPr>
          <w:rFonts w:ascii="Times New Roman" w:hAnsi="Times New Roman" w:cs="Times New Roman"/>
          <w:color w:val="222222"/>
          <w:sz w:val="24"/>
          <w:szCs w:val="24"/>
          <w:shd w:val="clear" w:color="auto" w:fill="FFFFFF"/>
        </w:rPr>
        <w:t>trav. Druhy trav ze skupiny C</w:t>
      </w:r>
      <w:r w:rsidRPr="00BC6A31">
        <w:rPr>
          <w:rFonts w:ascii="Times New Roman" w:hAnsi="Times New Roman" w:cs="Times New Roman"/>
          <w:color w:val="222222"/>
          <w:sz w:val="24"/>
          <w:szCs w:val="24"/>
          <w:shd w:val="clear" w:color="auto" w:fill="FFFFFF"/>
          <w:vertAlign w:val="subscript"/>
        </w:rPr>
        <w:t>4</w:t>
      </w:r>
      <w:r w:rsidRPr="00BC6A31">
        <w:rPr>
          <w:rFonts w:ascii="Times New Roman" w:hAnsi="Times New Roman" w:cs="Times New Roman"/>
          <w:color w:val="222222"/>
          <w:sz w:val="24"/>
          <w:szCs w:val="24"/>
          <w:shd w:val="clear" w:color="auto" w:fill="FFFFFF"/>
        </w:rPr>
        <w:t xml:space="preserve"> jsou však výrazně odolnější k simulovanému suchu než trávy C</w:t>
      </w:r>
      <w:r w:rsidRPr="00BC6A31">
        <w:rPr>
          <w:rFonts w:ascii="Times New Roman" w:hAnsi="Times New Roman" w:cs="Times New Roman"/>
          <w:color w:val="222222"/>
          <w:sz w:val="24"/>
          <w:szCs w:val="24"/>
          <w:shd w:val="clear" w:color="auto" w:fill="FFFFFF"/>
          <w:vertAlign w:val="subscript"/>
        </w:rPr>
        <w:t>3</w:t>
      </w:r>
      <w:r w:rsidRPr="00BC6A31">
        <w:rPr>
          <w:rFonts w:ascii="Times New Roman" w:hAnsi="Times New Roman" w:cs="Times New Roman"/>
          <w:color w:val="222222"/>
          <w:sz w:val="24"/>
          <w:szCs w:val="24"/>
          <w:shd w:val="clear" w:color="auto" w:fill="FFFFFF"/>
        </w:rPr>
        <w:t xml:space="preserve"> a vykazují i vyšší kvalitu píce. Trávy C3 mají negativní odezvu na sucho i v kvalitě píce. Tyto trendy lze přiměřeně zobecňovat pro uvedené skupiny plodin, jednotlivé druhy však reagují na simulované parametry rozdílně. Výzkum by se měl proto zaměřit na funkční znaky druhů trav, které by měly lépe vysvětlovat rozdílnou adaptaci jednotlivých druhů k těmto simulovaným změnám prostředí.</w:t>
      </w:r>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r w:rsidRPr="00BC6A31">
        <w:rPr>
          <w:rFonts w:ascii="Times New Roman" w:hAnsi="Times New Roman" w:cs="Times New Roman"/>
          <w:color w:val="222222"/>
          <w:sz w:val="24"/>
          <w:szCs w:val="24"/>
          <w:shd w:val="clear" w:color="auto" w:fill="FFFFFF"/>
        </w:rPr>
        <w:t>Ukazuje se, že obavy o vlivu předpokládané změny klimatu na dostupnost píce jsou oprávněné. Jejich vliv na její nutriční hodnotu však stále není zcela jasný. Je třeba podporovat výzkum těchto kombinovaných efektů na širokém spektru druhů pícnin, odlišných v jejich fylogenezi a funkčních znacích. Objasnění mechanismů adaptace druhů k těmto podmínkám může být užitečné, i když je nelze přímo využít pastevním managementu.</w:t>
      </w:r>
    </w:p>
    <w:p w:rsidR="00654F07" w:rsidRPr="00BC6A31" w:rsidRDefault="00654F07" w:rsidP="00BC6A31">
      <w:pPr>
        <w:spacing w:after="0" w:line="240" w:lineRule="auto"/>
        <w:contextualSpacing/>
        <w:jc w:val="both"/>
        <w:rPr>
          <w:rFonts w:ascii="Times New Roman" w:hAnsi="Times New Roman" w:cs="Times New Roman"/>
          <w:color w:val="222222"/>
          <w:sz w:val="24"/>
          <w:szCs w:val="24"/>
          <w:shd w:val="clear" w:color="auto" w:fill="FFFFFF"/>
        </w:rPr>
      </w:pPr>
    </w:p>
    <w:p w:rsidR="00654F07" w:rsidRPr="00BC6A31" w:rsidRDefault="00654F07" w:rsidP="00BC6A31">
      <w:pPr>
        <w:spacing w:after="0" w:line="240" w:lineRule="auto"/>
        <w:contextualSpacing/>
        <w:jc w:val="both"/>
        <w:rPr>
          <w:rFonts w:ascii="Times New Roman" w:hAnsi="Times New Roman" w:cs="Times New Roman"/>
          <w:sz w:val="24"/>
          <w:szCs w:val="24"/>
          <w:shd w:val="clear" w:color="auto" w:fill="FFFFFF"/>
        </w:rPr>
      </w:pPr>
      <w:r w:rsidRPr="00BC6A31">
        <w:rPr>
          <w:rFonts w:ascii="Times New Roman" w:hAnsi="Times New Roman" w:cs="Times New Roman"/>
          <w:b/>
          <w:color w:val="222222"/>
          <w:sz w:val="24"/>
          <w:szCs w:val="24"/>
          <w:shd w:val="clear" w:color="auto" w:fill="FFFFFF"/>
        </w:rPr>
        <w:t>Zpracoval</w:t>
      </w:r>
      <w:r w:rsidRPr="00BC6A31">
        <w:rPr>
          <w:rFonts w:ascii="Times New Roman" w:hAnsi="Times New Roman" w:cs="Times New Roman"/>
          <w:color w:val="222222"/>
          <w:sz w:val="24"/>
          <w:szCs w:val="24"/>
          <w:shd w:val="clear" w:color="auto" w:fill="FFFFFF"/>
        </w:rPr>
        <w:t xml:space="preserve">: doc. Ing. Josef Hakl, Ph.D., Česká zemědělská univerzita v Praze, Katedra pícninářství a trávníkářství, </w:t>
      </w:r>
      <w:r w:rsidRPr="00BC6A31">
        <w:rPr>
          <w:rFonts w:ascii="Times New Roman" w:hAnsi="Times New Roman" w:cs="Times New Roman"/>
          <w:sz w:val="24"/>
          <w:szCs w:val="24"/>
          <w:shd w:val="clear" w:color="auto" w:fill="FFFFFF"/>
        </w:rPr>
        <w:t>hakl@af.czu.cz</w:t>
      </w:r>
    </w:p>
    <w:p w:rsidR="00D73389" w:rsidRPr="00BC6A31" w:rsidRDefault="00D73389" w:rsidP="00BC6A31">
      <w:pPr>
        <w:spacing w:after="0" w:line="240" w:lineRule="auto"/>
        <w:contextualSpacing/>
        <w:rPr>
          <w:rFonts w:ascii="Times New Roman" w:hAnsi="Times New Roman" w:cs="Times New Roman"/>
          <w:sz w:val="24"/>
          <w:szCs w:val="24"/>
        </w:rPr>
      </w:pPr>
    </w:p>
    <w:sectPr w:rsidR="00D73389" w:rsidRPr="00BC6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07"/>
    <w:rsid w:val="00654F07"/>
    <w:rsid w:val="00BC6A31"/>
    <w:rsid w:val="00D73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F0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4F0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1900</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Uživatel</cp:lastModifiedBy>
  <cp:revision>2</cp:revision>
  <dcterms:created xsi:type="dcterms:W3CDTF">2018-06-20T11:21:00Z</dcterms:created>
  <dcterms:modified xsi:type="dcterms:W3CDTF">2018-06-23T13:08:00Z</dcterms:modified>
</cp:coreProperties>
</file>