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63" w:rsidRPr="00EF1FE6" w:rsidRDefault="005B3ABB" w:rsidP="00EF1F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1FE6">
        <w:rPr>
          <w:rFonts w:ascii="Times New Roman" w:hAnsi="Times New Roman" w:cs="Times New Roman"/>
          <w:b/>
          <w:sz w:val="24"/>
          <w:szCs w:val="24"/>
        </w:rPr>
        <w:t xml:space="preserve">Diagnostická přesnost odhadu kvality mleziva prostřednictvím refraktometrů: systematický přehled a meta-analýza </w:t>
      </w:r>
    </w:p>
    <w:p w:rsidR="00EF1FE6" w:rsidRDefault="00EF1FE6" w:rsidP="00EF1F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3ABB" w:rsidRPr="00EF1FE6" w:rsidRDefault="005B3ABB" w:rsidP="00EF1F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EF1FE6">
        <w:rPr>
          <w:rFonts w:ascii="Times New Roman" w:hAnsi="Times New Roman" w:cs="Times New Roman"/>
          <w:b/>
          <w:sz w:val="24"/>
          <w:szCs w:val="24"/>
        </w:rPr>
        <w:t>Diagnostic</w:t>
      </w:r>
      <w:proofErr w:type="spellEnd"/>
      <w:r w:rsidRPr="00EF1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FE6">
        <w:rPr>
          <w:rFonts w:ascii="Times New Roman" w:hAnsi="Times New Roman" w:cs="Times New Roman"/>
          <w:b/>
          <w:sz w:val="24"/>
          <w:szCs w:val="24"/>
        </w:rPr>
        <w:t>accuracy</w:t>
      </w:r>
      <w:proofErr w:type="spellEnd"/>
      <w:r w:rsidRPr="00EF1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FE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F1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FE6">
        <w:rPr>
          <w:rFonts w:ascii="Times New Roman" w:hAnsi="Times New Roman" w:cs="Times New Roman"/>
          <w:b/>
          <w:sz w:val="24"/>
          <w:szCs w:val="24"/>
        </w:rPr>
        <w:t>refractometry</w:t>
      </w:r>
      <w:proofErr w:type="spellEnd"/>
      <w:r w:rsidRPr="00EF1FE6">
        <w:rPr>
          <w:rFonts w:ascii="Times New Roman" w:hAnsi="Times New Roman" w:cs="Times New Roman"/>
          <w:b/>
          <w:sz w:val="24"/>
          <w:szCs w:val="24"/>
        </w:rPr>
        <w:t xml:space="preserve"> for assessing bovine colostrum quality: A systematic review and meta-analysis</w:t>
      </w:r>
      <w:r w:rsidRPr="00EF1F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41872" w:rsidRPr="00EF1FE6" w:rsidRDefault="00EF1FE6" w:rsidP="00EF1F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41872" w:rsidRPr="00EF1FE6" w:rsidRDefault="005B3ABB" w:rsidP="00EF1F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FE6">
        <w:rPr>
          <w:rFonts w:ascii="Times New Roman" w:hAnsi="Times New Roman" w:cs="Times New Roman"/>
          <w:sz w:val="24"/>
          <w:szCs w:val="24"/>
        </w:rPr>
        <w:t>Buc</w:t>
      </w:r>
      <w:r w:rsidR="00A358E6">
        <w:rPr>
          <w:rFonts w:ascii="Times New Roman" w:hAnsi="Times New Roman" w:cs="Times New Roman"/>
          <w:sz w:val="24"/>
          <w:szCs w:val="24"/>
        </w:rPr>
        <w:t xml:space="preserve">zinski, S., Vandeweerd, J., M. </w:t>
      </w:r>
      <w:bookmarkStart w:id="0" w:name="_GoBack"/>
      <w:bookmarkEnd w:id="0"/>
      <w:r w:rsidRPr="00EF1FE6">
        <w:rPr>
          <w:rFonts w:ascii="Times New Roman" w:hAnsi="Times New Roman" w:cs="Times New Roman"/>
          <w:sz w:val="24"/>
          <w:szCs w:val="24"/>
        </w:rPr>
        <w:t>2016 Diagnostic accuracy of refractometry for assessing bovine colostrum quality: A systematic review and meta-analysis</w:t>
      </w:r>
      <w:r w:rsidR="007A6E99" w:rsidRPr="00EF1FE6">
        <w:rPr>
          <w:rFonts w:ascii="Times New Roman" w:hAnsi="Times New Roman" w:cs="Times New Roman"/>
          <w:sz w:val="24"/>
          <w:szCs w:val="24"/>
        </w:rPr>
        <w:t>.</w:t>
      </w:r>
      <w:r w:rsidRPr="00EF1FE6">
        <w:rPr>
          <w:rFonts w:ascii="Times New Roman" w:hAnsi="Times New Roman" w:cs="Times New Roman"/>
          <w:sz w:val="24"/>
          <w:szCs w:val="24"/>
        </w:rPr>
        <w:t xml:space="preserve"> </w:t>
      </w:r>
      <w:r w:rsidR="000D2977" w:rsidRPr="00EF1FE6">
        <w:rPr>
          <w:rFonts w:ascii="Times New Roman" w:hAnsi="Times New Roman" w:cs="Times New Roman"/>
          <w:sz w:val="24"/>
          <w:szCs w:val="24"/>
        </w:rPr>
        <w:t>J. Dairy Sci.</w:t>
      </w:r>
      <w:r w:rsidR="00012746" w:rsidRPr="00EF1FE6">
        <w:rPr>
          <w:rFonts w:ascii="Times New Roman" w:hAnsi="Times New Roman" w:cs="Times New Roman"/>
          <w:sz w:val="24"/>
          <w:szCs w:val="24"/>
        </w:rPr>
        <w:t xml:space="preserve"> </w:t>
      </w:r>
      <w:r w:rsidR="007A6E99" w:rsidRPr="00EF1FE6">
        <w:rPr>
          <w:rFonts w:ascii="Times New Roman" w:hAnsi="Times New Roman" w:cs="Times New Roman"/>
          <w:sz w:val="24"/>
          <w:szCs w:val="24"/>
        </w:rPr>
        <w:t>99</w:t>
      </w:r>
      <w:r w:rsidR="00012746" w:rsidRPr="00EF1FE6">
        <w:rPr>
          <w:rFonts w:ascii="Times New Roman" w:hAnsi="Times New Roman" w:cs="Times New Roman"/>
          <w:sz w:val="24"/>
          <w:szCs w:val="24"/>
        </w:rPr>
        <w:t xml:space="preserve">: </w:t>
      </w:r>
      <w:r w:rsidR="007A6E99" w:rsidRPr="00EF1FE6">
        <w:rPr>
          <w:rFonts w:ascii="Times New Roman" w:hAnsi="Times New Roman" w:cs="Times New Roman"/>
          <w:sz w:val="24"/>
          <w:szCs w:val="24"/>
        </w:rPr>
        <w:t>7381-7394</w:t>
      </w:r>
      <w:r w:rsidR="00012746" w:rsidRPr="00EF1FE6">
        <w:rPr>
          <w:rFonts w:ascii="Times New Roman" w:hAnsi="Times New Roman" w:cs="Times New Roman"/>
          <w:sz w:val="24"/>
          <w:szCs w:val="24"/>
        </w:rPr>
        <w:t xml:space="preserve">. </w:t>
      </w:r>
      <w:r w:rsidR="007A6E99" w:rsidRPr="00EF1FE6">
        <w:rPr>
          <w:rFonts w:ascii="Times New Roman" w:hAnsi="Times New Roman" w:cs="Times New Roman"/>
          <w:sz w:val="24"/>
          <w:szCs w:val="24"/>
        </w:rPr>
        <w:t>http://dx.doi.org/ 10.3168/jds.2016-10955</w:t>
      </w:r>
    </w:p>
    <w:p w:rsidR="00EF1FE6" w:rsidRDefault="00EF1FE6" w:rsidP="00EF1F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1FE6" w:rsidRPr="00EF1FE6" w:rsidRDefault="00EF1FE6" w:rsidP="00EF1F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FE6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EF1FE6">
        <w:rPr>
          <w:rFonts w:ascii="Times New Roman" w:hAnsi="Times New Roman" w:cs="Times New Roman"/>
          <w:sz w:val="24"/>
          <w:szCs w:val="24"/>
        </w:rPr>
        <w:t>imunoglobuliny G, senzitivita, specifita, přesnost, Brix</w:t>
      </w:r>
    </w:p>
    <w:p w:rsidR="00EF1FE6" w:rsidRDefault="00EF1FE6" w:rsidP="00EF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977" w:rsidRPr="00EF1FE6" w:rsidRDefault="00012746" w:rsidP="00EF1F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FE6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="007A6E99" w:rsidRPr="00EF1FE6">
        <w:rPr>
          <w:rFonts w:ascii="Times New Roman" w:hAnsi="Times New Roman" w:cs="Times New Roman"/>
          <w:sz w:val="24"/>
          <w:szCs w:val="24"/>
        </w:rPr>
        <w:t>https://www.journalofdairyscience.org/article/S0022-0302%2816%2930446-5/fulltext</w:t>
      </w:r>
    </w:p>
    <w:p w:rsidR="00EF1FE6" w:rsidRDefault="00EF1FE6" w:rsidP="00EF1F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476A" w:rsidRPr="00EF1FE6" w:rsidRDefault="007E2C5D" w:rsidP="00EF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E6">
        <w:rPr>
          <w:rFonts w:ascii="Times New Roman" w:hAnsi="Times New Roman" w:cs="Times New Roman"/>
          <w:sz w:val="24"/>
          <w:szCs w:val="24"/>
        </w:rPr>
        <w:t xml:space="preserve">Klíčové pro přežití telat je zajištění </w:t>
      </w:r>
      <w:r w:rsidR="000C23AB" w:rsidRPr="00EF1FE6">
        <w:rPr>
          <w:rFonts w:ascii="Times New Roman" w:hAnsi="Times New Roman" w:cs="Times New Roman"/>
          <w:sz w:val="24"/>
          <w:szCs w:val="24"/>
        </w:rPr>
        <w:t xml:space="preserve">jejich </w:t>
      </w:r>
      <w:r w:rsidRPr="00EF1FE6">
        <w:rPr>
          <w:rFonts w:ascii="Times New Roman" w:hAnsi="Times New Roman" w:cs="Times New Roman"/>
          <w:sz w:val="24"/>
          <w:szCs w:val="24"/>
        </w:rPr>
        <w:t>adekvátní pasivní imunity</w:t>
      </w:r>
      <w:r w:rsidR="003B1492" w:rsidRPr="00EF1FE6">
        <w:rPr>
          <w:rFonts w:ascii="Times New Roman" w:hAnsi="Times New Roman" w:cs="Times New Roman"/>
          <w:sz w:val="24"/>
          <w:szCs w:val="24"/>
        </w:rPr>
        <w:t xml:space="preserve"> prostřednictvím mleziva</w:t>
      </w:r>
      <w:r w:rsidRPr="00EF1FE6">
        <w:rPr>
          <w:rFonts w:ascii="Times New Roman" w:hAnsi="Times New Roman" w:cs="Times New Roman"/>
          <w:sz w:val="24"/>
          <w:szCs w:val="24"/>
        </w:rPr>
        <w:t xml:space="preserve">. Mlezivo je velmi důležité nejen z důvodu </w:t>
      </w:r>
      <w:r w:rsidR="00253215" w:rsidRPr="00EF1FE6">
        <w:rPr>
          <w:rFonts w:ascii="Times New Roman" w:hAnsi="Times New Roman" w:cs="Times New Roman"/>
          <w:sz w:val="24"/>
          <w:szCs w:val="24"/>
        </w:rPr>
        <w:t>obsahu</w:t>
      </w:r>
      <w:r w:rsidR="000C23AB" w:rsidRPr="00EF1FE6">
        <w:rPr>
          <w:rFonts w:ascii="Times New Roman" w:hAnsi="Times New Roman" w:cs="Times New Roman"/>
          <w:sz w:val="24"/>
          <w:szCs w:val="24"/>
        </w:rPr>
        <w:t xml:space="preserve"> samotných</w:t>
      </w:r>
      <w:r w:rsidR="00253215" w:rsidRPr="00EF1FE6">
        <w:rPr>
          <w:rFonts w:ascii="Times New Roman" w:hAnsi="Times New Roman" w:cs="Times New Roman"/>
          <w:sz w:val="24"/>
          <w:szCs w:val="24"/>
        </w:rPr>
        <w:t xml:space="preserve"> imunoglobulinů, ale také z důvodu obsahu dalších </w:t>
      </w:r>
      <w:r w:rsidR="007161DE" w:rsidRPr="00EF1FE6">
        <w:rPr>
          <w:rFonts w:ascii="Times New Roman" w:hAnsi="Times New Roman" w:cs="Times New Roman"/>
          <w:sz w:val="24"/>
          <w:szCs w:val="24"/>
        </w:rPr>
        <w:t>cenných složek (bílé krvinky, cytokiny</w:t>
      </w:r>
      <w:r w:rsidR="0003081F" w:rsidRPr="00EF1FE6">
        <w:rPr>
          <w:rFonts w:ascii="Times New Roman" w:hAnsi="Times New Roman" w:cs="Times New Roman"/>
          <w:sz w:val="24"/>
          <w:szCs w:val="24"/>
        </w:rPr>
        <w:t xml:space="preserve"> aj.), jež jsou významné pro imunitní systém telat. Schopnost střevní sliznice u telat z pohledu absorpce imunoglobulinů po narození velmi rychle s přibývajícím </w:t>
      </w:r>
      <w:r w:rsidR="000C23AB" w:rsidRPr="00EF1FE6">
        <w:rPr>
          <w:rFonts w:ascii="Times New Roman" w:hAnsi="Times New Roman" w:cs="Times New Roman"/>
          <w:sz w:val="24"/>
          <w:szCs w:val="24"/>
        </w:rPr>
        <w:t>časem klesá. P</w:t>
      </w:r>
      <w:r w:rsidR="0003081F" w:rsidRPr="00EF1FE6">
        <w:rPr>
          <w:rFonts w:ascii="Times New Roman" w:hAnsi="Times New Roman" w:cs="Times New Roman"/>
          <w:sz w:val="24"/>
          <w:szCs w:val="24"/>
        </w:rPr>
        <w:t>odstatným prvkem dobře nastaveného managementu mlezivové výživy je včasné podání dostatečně kvalitního mleziva</w:t>
      </w:r>
      <w:r w:rsidR="00F624DD" w:rsidRPr="00EF1FE6">
        <w:rPr>
          <w:rFonts w:ascii="Times New Roman" w:hAnsi="Times New Roman" w:cs="Times New Roman"/>
          <w:sz w:val="24"/>
          <w:szCs w:val="24"/>
        </w:rPr>
        <w:t>, tj. s obsahem imunoglobulinů třídy G</w:t>
      </w:r>
      <w:r w:rsidR="00F85829" w:rsidRPr="00EF1FE6">
        <w:rPr>
          <w:rFonts w:ascii="Times New Roman" w:hAnsi="Times New Roman" w:cs="Times New Roman"/>
          <w:sz w:val="24"/>
          <w:szCs w:val="24"/>
        </w:rPr>
        <w:t xml:space="preserve"> (IgG)</w:t>
      </w:r>
      <w:r w:rsidR="00F624DD" w:rsidRPr="00EF1FE6">
        <w:rPr>
          <w:rFonts w:ascii="Times New Roman" w:hAnsi="Times New Roman" w:cs="Times New Roman"/>
          <w:sz w:val="24"/>
          <w:szCs w:val="24"/>
        </w:rPr>
        <w:t xml:space="preserve"> </w:t>
      </w:r>
      <w:r w:rsidR="00F85829" w:rsidRPr="00EF1FE6">
        <w:rPr>
          <w:rFonts w:ascii="Times New Roman" w:hAnsi="Times New Roman" w:cs="Times New Roman"/>
          <w:sz w:val="24"/>
          <w:szCs w:val="24"/>
        </w:rPr>
        <w:t>≥ 50 g/l</w:t>
      </w:r>
      <w:r w:rsidR="0003081F" w:rsidRPr="00EF1FE6">
        <w:rPr>
          <w:rFonts w:ascii="Times New Roman" w:hAnsi="Times New Roman" w:cs="Times New Roman"/>
          <w:sz w:val="24"/>
          <w:szCs w:val="24"/>
        </w:rPr>
        <w:t xml:space="preserve"> v odpovídajícím </w:t>
      </w:r>
      <w:r w:rsidR="00F85829" w:rsidRPr="00EF1FE6">
        <w:rPr>
          <w:rFonts w:ascii="Times New Roman" w:hAnsi="Times New Roman" w:cs="Times New Roman"/>
          <w:sz w:val="24"/>
          <w:szCs w:val="24"/>
        </w:rPr>
        <w:t xml:space="preserve">objemu, zajištujícím </w:t>
      </w:r>
      <w:r w:rsidR="000D5DF3" w:rsidRPr="00EF1FE6">
        <w:rPr>
          <w:rFonts w:ascii="Times New Roman" w:hAnsi="Times New Roman" w:cs="Times New Roman"/>
          <w:sz w:val="24"/>
          <w:szCs w:val="24"/>
        </w:rPr>
        <w:t xml:space="preserve">teleti </w:t>
      </w:r>
      <w:r w:rsidR="00F85829" w:rsidRPr="00EF1FE6">
        <w:rPr>
          <w:rFonts w:ascii="Times New Roman" w:hAnsi="Times New Roman" w:cs="Times New Roman"/>
          <w:sz w:val="24"/>
          <w:szCs w:val="24"/>
        </w:rPr>
        <w:t>př</w:t>
      </w:r>
      <w:r w:rsidR="000D5DF3" w:rsidRPr="00EF1FE6">
        <w:rPr>
          <w:rFonts w:ascii="Times New Roman" w:hAnsi="Times New Roman" w:cs="Times New Roman"/>
          <w:sz w:val="24"/>
          <w:szCs w:val="24"/>
        </w:rPr>
        <w:t>ísun</w:t>
      </w:r>
      <w:r w:rsidR="00A5709E" w:rsidRPr="00EF1FE6">
        <w:rPr>
          <w:rFonts w:ascii="Times New Roman" w:hAnsi="Times New Roman" w:cs="Times New Roman"/>
          <w:sz w:val="24"/>
          <w:szCs w:val="24"/>
        </w:rPr>
        <w:t xml:space="preserve"> </w:t>
      </w:r>
      <w:r w:rsidR="00F85829" w:rsidRPr="00EF1FE6">
        <w:rPr>
          <w:rFonts w:ascii="Times New Roman" w:hAnsi="Times New Roman" w:cs="Times New Roman"/>
          <w:sz w:val="24"/>
          <w:szCs w:val="24"/>
        </w:rPr>
        <w:t xml:space="preserve">IgG v množství 100 až 200 g. </w:t>
      </w:r>
      <w:r w:rsidR="00A0709E" w:rsidRPr="00EF1FE6">
        <w:rPr>
          <w:rFonts w:ascii="Times New Roman" w:hAnsi="Times New Roman" w:cs="Times New Roman"/>
          <w:sz w:val="24"/>
          <w:szCs w:val="24"/>
        </w:rPr>
        <w:t xml:space="preserve">V chovatelsky vyspělých zemích je </w:t>
      </w:r>
      <w:r w:rsidR="00EF22F0" w:rsidRPr="00EF1FE6">
        <w:rPr>
          <w:rFonts w:ascii="Times New Roman" w:hAnsi="Times New Roman" w:cs="Times New Roman"/>
          <w:sz w:val="24"/>
          <w:szCs w:val="24"/>
        </w:rPr>
        <w:t xml:space="preserve">ve stádech dojeného skotu </w:t>
      </w:r>
      <w:r w:rsidR="00A0709E" w:rsidRPr="00EF1FE6">
        <w:rPr>
          <w:rFonts w:ascii="Times New Roman" w:hAnsi="Times New Roman" w:cs="Times New Roman"/>
          <w:sz w:val="24"/>
          <w:szCs w:val="24"/>
        </w:rPr>
        <w:t xml:space="preserve">běžně uplatňováno tzv. řízené napájení telat mlezivem. </w:t>
      </w:r>
      <w:r w:rsidR="000D5DF3" w:rsidRPr="00EF1FE6">
        <w:rPr>
          <w:rFonts w:ascii="Times New Roman" w:hAnsi="Times New Roman" w:cs="Times New Roman"/>
          <w:sz w:val="24"/>
          <w:szCs w:val="24"/>
        </w:rPr>
        <w:t xml:space="preserve">Jeho cílem je prevence selhání pasivní imunity telat, tedy stavu, kdy </w:t>
      </w:r>
      <w:r w:rsidR="00692A37" w:rsidRPr="00EF1FE6">
        <w:rPr>
          <w:rFonts w:ascii="Times New Roman" w:hAnsi="Times New Roman" w:cs="Times New Roman"/>
          <w:sz w:val="24"/>
          <w:szCs w:val="24"/>
        </w:rPr>
        <w:t xml:space="preserve">v séru telat mezi 1. až 7. dnem jejich věku je obsah IgG ≤ 10 g/l. </w:t>
      </w:r>
      <w:r w:rsidR="005062B2" w:rsidRPr="00EF1FE6">
        <w:rPr>
          <w:rFonts w:ascii="Times New Roman" w:hAnsi="Times New Roman" w:cs="Times New Roman"/>
          <w:sz w:val="24"/>
          <w:szCs w:val="24"/>
        </w:rPr>
        <w:t xml:space="preserve">Z pohledu odhadu kvality mleziva máme v současné době k dispozici řadu přesných </w:t>
      </w:r>
      <w:r w:rsidR="00D86937" w:rsidRPr="00EF1FE6">
        <w:rPr>
          <w:rFonts w:ascii="Times New Roman" w:hAnsi="Times New Roman" w:cs="Times New Roman"/>
          <w:sz w:val="24"/>
          <w:szCs w:val="24"/>
        </w:rPr>
        <w:t xml:space="preserve">laboratorních </w:t>
      </w:r>
      <w:r w:rsidR="005062B2" w:rsidRPr="00EF1FE6">
        <w:rPr>
          <w:rFonts w:ascii="Times New Roman" w:hAnsi="Times New Roman" w:cs="Times New Roman"/>
          <w:sz w:val="24"/>
          <w:szCs w:val="24"/>
        </w:rPr>
        <w:t>metod, které stanovují obsah IgG v</w:t>
      </w:r>
      <w:r w:rsidR="003B78F9" w:rsidRPr="00EF1FE6">
        <w:rPr>
          <w:rFonts w:ascii="Times New Roman" w:hAnsi="Times New Roman" w:cs="Times New Roman"/>
          <w:sz w:val="24"/>
          <w:szCs w:val="24"/>
        </w:rPr>
        <w:t> </w:t>
      </w:r>
      <w:r w:rsidR="005062B2" w:rsidRPr="00EF1FE6">
        <w:rPr>
          <w:rFonts w:ascii="Times New Roman" w:hAnsi="Times New Roman" w:cs="Times New Roman"/>
          <w:sz w:val="24"/>
          <w:szCs w:val="24"/>
        </w:rPr>
        <w:t>mlezivu</w:t>
      </w:r>
      <w:r w:rsidR="003B78F9" w:rsidRPr="00EF1FE6">
        <w:rPr>
          <w:rFonts w:ascii="Times New Roman" w:hAnsi="Times New Roman" w:cs="Times New Roman"/>
          <w:sz w:val="24"/>
          <w:szCs w:val="24"/>
        </w:rPr>
        <w:t xml:space="preserve"> (ra</w:t>
      </w:r>
      <w:r w:rsidR="005062B2" w:rsidRPr="00EF1FE6">
        <w:rPr>
          <w:rFonts w:ascii="Times New Roman" w:hAnsi="Times New Roman" w:cs="Times New Roman"/>
          <w:sz w:val="24"/>
          <w:szCs w:val="24"/>
        </w:rPr>
        <w:t>dioimunodifuze</w:t>
      </w:r>
      <w:r w:rsidR="003B78F9" w:rsidRPr="00EF1FE6">
        <w:rPr>
          <w:rFonts w:ascii="Times New Roman" w:hAnsi="Times New Roman" w:cs="Times New Roman"/>
          <w:sz w:val="24"/>
          <w:szCs w:val="24"/>
        </w:rPr>
        <w:t>, infračervená spektrometrie</w:t>
      </w:r>
      <w:r w:rsidR="00D86937" w:rsidRPr="00EF1FE6">
        <w:rPr>
          <w:rFonts w:ascii="Times New Roman" w:hAnsi="Times New Roman" w:cs="Times New Roman"/>
          <w:sz w:val="24"/>
          <w:szCs w:val="24"/>
        </w:rPr>
        <w:t xml:space="preserve">), avšak tyto jsou z pohledu časového a cenového v praxi nevyužitelné. S ohledem na tyto skutečnosti byly vyvinuty odhadové metody, které při srovnání s výsledky laboratorních </w:t>
      </w:r>
      <w:r w:rsidR="005E3718" w:rsidRPr="00EF1FE6">
        <w:rPr>
          <w:rFonts w:ascii="Times New Roman" w:hAnsi="Times New Roman" w:cs="Times New Roman"/>
          <w:sz w:val="24"/>
          <w:szCs w:val="24"/>
        </w:rPr>
        <w:t>měření poskytují dobré výsledky pro odhad kvality mleziva. V posledních několika letech je v chovatelské praxi nejvíce rozšířen odhad kvality mleziva pomocí Brix refraktometrů (optické, digitální).</w:t>
      </w:r>
    </w:p>
    <w:p w:rsidR="005E3718" w:rsidRPr="00EF1FE6" w:rsidRDefault="005E3718" w:rsidP="00EF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E6">
        <w:rPr>
          <w:rFonts w:ascii="Times New Roman" w:hAnsi="Times New Roman" w:cs="Times New Roman"/>
          <w:sz w:val="24"/>
          <w:szCs w:val="24"/>
        </w:rPr>
        <w:t xml:space="preserve">Cílem této meta-analýzy bylo zhodnotit dostupné a relevantní vědecké publikace, které byly věnovány problematice odhadu kvality mleziva pomocí Brix refraktometrů. </w:t>
      </w:r>
      <w:r w:rsidR="00EE1263" w:rsidRPr="00EF1FE6">
        <w:rPr>
          <w:rFonts w:ascii="Times New Roman" w:hAnsi="Times New Roman" w:cs="Times New Roman"/>
          <w:sz w:val="24"/>
          <w:szCs w:val="24"/>
        </w:rPr>
        <w:t>Do hodnocení</w:t>
      </w:r>
      <w:r w:rsidR="00C70905" w:rsidRPr="00EF1FE6">
        <w:rPr>
          <w:rFonts w:ascii="Times New Roman" w:hAnsi="Times New Roman" w:cs="Times New Roman"/>
          <w:sz w:val="24"/>
          <w:szCs w:val="24"/>
        </w:rPr>
        <w:t xml:space="preserve"> (meta-analýzy) </w:t>
      </w:r>
      <w:r w:rsidR="00EE1263" w:rsidRPr="00EF1FE6">
        <w:rPr>
          <w:rFonts w:ascii="Times New Roman" w:hAnsi="Times New Roman" w:cs="Times New Roman"/>
          <w:sz w:val="24"/>
          <w:szCs w:val="24"/>
        </w:rPr>
        <w:t>bylo zařazeno 11</w:t>
      </w:r>
      <w:r w:rsidR="007C676E" w:rsidRPr="00EF1FE6">
        <w:rPr>
          <w:rFonts w:ascii="Times New Roman" w:hAnsi="Times New Roman" w:cs="Times New Roman"/>
          <w:sz w:val="24"/>
          <w:szCs w:val="24"/>
        </w:rPr>
        <w:t xml:space="preserve"> </w:t>
      </w:r>
      <w:r w:rsidR="00C70905" w:rsidRPr="00EF1FE6">
        <w:rPr>
          <w:rFonts w:ascii="Times New Roman" w:hAnsi="Times New Roman" w:cs="Times New Roman"/>
          <w:sz w:val="24"/>
          <w:szCs w:val="24"/>
        </w:rPr>
        <w:t xml:space="preserve">vědeckých prací, čítajících celkem </w:t>
      </w:r>
      <w:r w:rsidR="00EE1263" w:rsidRPr="00EF1FE6">
        <w:rPr>
          <w:rFonts w:ascii="Times New Roman" w:hAnsi="Times New Roman" w:cs="Times New Roman"/>
          <w:sz w:val="24"/>
          <w:szCs w:val="24"/>
        </w:rPr>
        <w:t xml:space="preserve">4251 </w:t>
      </w:r>
      <w:r w:rsidR="00C70905" w:rsidRPr="00EF1FE6">
        <w:rPr>
          <w:rFonts w:ascii="Times New Roman" w:hAnsi="Times New Roman" w:cs="Times New Roman"/>
          <w:sz w:val="24"/>
          <w:szCs w:val="24"/>
        </w:rPr>
        <w:t xml:space="preserve">vyšetřených </w:t>
      </w:r>
      <w:r w:rsidR="00EE1263" w:rsidRPr="00EF1FE6">
        <w:rPr>
          <w:rFonts w:ascii="Times New Roman" w:hAnsi="Times New Roman" w:cs="Times New Roman"/>
          <w:sz w:val="24"/>
          <w:szCs w:val="24"/>
        </w:rPr>
        <w:t xml:space="preserve">vzorků mleziva. </w:t>
      </w:r>
      <w:r w:rsidR="00192D1F" w:rsidRPr="00EF1FE6">
        <w:rPr>
          <w:rFonts w:ascii="Times New Roman" w:hAnsi="Times New Roman" w:cs="Times New Roman"/>
          <w:sz w:val="24"/>
          <w:szCs w:val="24"/>
        </w:rPr>
        <w:t>Podíl vzorků mleziv s vyhovujícím obsahem IgG (≥</w:t>
      </w:r>
      <w:r w:rsidR="00F37B0C" w:rsidRPr="00EF1FE6">
        <w:rPr>
          <w:rFonts w:ascii="Times New Roman" w:hAnsi="Times New Roman" w:cs="Times New Roman"/>
          <w:sz w:val="24"/>
          <w:szCs w:val="24"/>
        </w:rPr>
        <w:t xml:space="preserve"> 50 g/l) se napříč pracemi pohy</w:t>
      </w:r>
      <w:r w:rsidR="00192D1F" w:rsidRPr="00EF1FE6">
        <w:rPr>
          <w:rFonts w:ascii="Times New Roman" w:hAnsi="Times New Roman" w:cs="Times New Roman"/>
          <w:sz w:val="24"/>
          <w:szCs w:val="24"/>
        </w:rPr>
        <w:t xml:space="preserve">boval v rozmezí 67,3 až 92,3 % s mediánem 77,9 %. </w:t>
      </w:r>
      <w:r w:rsidR="00F37B0C" w:rsidRPr="00EF1FE6">
        <w:rPr>
          <w:rFonts w:ascii="Times New Roman" w:hAnsi="Times New Roman" w:cs="Times New Roman"/>
          <w:sz w:val="24"/>
          <w:szCs w:val="24"/>
        </w:rPr>
        <w:t xml:space="preserve">V rámci meta-analýzy byly stanoveny parametry specifity, senzitivity a přesnosti. </w:t>
      </w:r>
      <w:r w:rsidR="0014463F" w:rsidRPr="00EF1FE6">
        <w:rPr>
          <w:rFonts w:ascii="Times New Roman" w:hAnsi="Times New Roman" w:cs="Times New Roman"/>
          <w:sz w:val="24"/>
          <w:szCs w:val="24"/>
        </w:rPr>
        <w:t xml:space="preserve">Autoři v rámci velmi podrobného hodnocení studií dospěli k závěru, že </w:t>
      </w:r>
      <w:r w:rsidR="00E53A82" w:rsidRPr="00EF1FE6">
        <w:rPr>
          <w:rFonts w:ascii="Times New Roman" w:hAnsi="Times New Roman" w:cs="Times New Roman"/>
          <w:sz w:val="24"/>
          <w:szCs w:val="24"/>
        </w:rPr>
        <w:t xml:space="preserve">pro hodnocení-odhad kvality mleziva by měly být použity hranice &lt; 18 % Brix </w:t>
      </w:r>
      <w:r w:rsidR="00C70905" w:rsidRPr="00EF1FE6">
        <w:rPr>
          <w:rFonts w:ascii="Times New Roman" w:hAnsi="Times New Roman" w:cs="Times New Roman"/>
          <w:sz w:val="24"/>
          <w:szCs w:val="24"/>
        </w:rPr>
        <w:t xml:space="preserve">resp. </w:t>
      </w:r>
      <w:r w:rsidR="00E53A82" w:rsidRPr="00EF1FE6">
        <w:rPr>
          <w:rFonts w:ascii="Times New Roman" w:hAnsi="Times New Roman" w:cs="Times New Roman"/>
          <w:sz w:val="24"/>
          <w:szCs w:val="24"/>
        </w:rPr>
        <w:t xml:space="preserve"> ≥ 22 % Brix. </w:t>
      </w:r>
      <w:r w:rsidR="00FF3B86" w:rsidRPr="00EF1FE6">
        <w:rPr>
          <w:rFonts w:ascii="Times New Roman" w:hAnsi="Times New Roman" w:cs="Times New Roman"/>
          <w:sz w:val="24"/>
          <w:szCs w:val="24"/>
        </w:rPr>
        <w:t>Mleziva špatné kvality jsou taková, u nichž v případě refraktometrického zhodnocení je dosahováno hodnot &lt; 18 % a tato by neměla být telatům zkrmována prvních 24 hodin jejich života. Naopak, mleziva velmi dobré kvality jsou taková, u nichž byly hodnoty Brix ≥</w:t>
      </w:r>
      <w:r w:rsidR="00817A84" w:rsidRPr="00EF1FE6">
        <w:rPr>
          <w:rFonts w:ascii="Times New Roman" w:hAnsi="Times New Roman" w:cs="Times New Roman"/>
          <w:sz w:val="24"/>
          <w:szCs w:val="24"/>
        </w:rPr>
        <w:t xml:space="preserve"> 22 % a tato by měla být primárně zkrmována v průběhu jejich prvních 24hodin života. U mleziv s naměřenými hodnotami mezi 18 až 22 % Brix autoři doporučují, aby tato byla zkrmována telata v průběhu prvních 24. hodin pouze za podmínky, že do nich bude přidán mlezivový doplněk (sušené mlezivo), zvyšující jejich imunologickou kvalitu.</w:t>
      </w:r>
    </w:p>
    <w:p w:rsidR="00F90472" w:rsidRPr="00EF1FE6" w:rsidRDefault="00F90472" w:rsidP="00EF1F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B31" w:rsidRPr="00EF1FE6" w:rsidRDefault="00B50B31" w:rsidP="00EF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E6">
        <w:rPr>
          <w:rFonts w:ascii="Times New Roman" w:hAnsi="Times New Roman" w:cs="Times New Roman"/>
          <w:b/>
          <w:sz w:val="24"/>
          <w:szCs w:val="24"/>
        </w:rPr>
        <w:t>Zpracoval</w:t>
      </w:r>
      <w:r w:rsidRPr="00EF1FE6">
        <w:rPr>
          <w:rFonts w:ascii="Times New Roman" w:hAnsi="Times New Roman" w:cs="Times New Roman"/>
          <w:sz w:val="24"/>
          <w:szCs w:val="24"/>
        </w:rPr>
        <w:t xml:space="preserve">: Ing. </w:t>
      </w:r>
      <w:r w:rsidR="005C4964" w:rsidRPr="00EF1FE6">
        <w:rPr>
          <w:rFonts w:ascii="Times New Roman" w:hAnsi="Times New Roman" w:cs="Times New Roman"/>
          <w:sz w:val="24"/>
          <w:szCs w:val="24"/>
        </w:rPr>
        <w:t>Stanislav Staněk</w:t>
      </w:r>
      <w:r w:rsidRPr="00EF1FE6">
        <w:rPr>
          <w:rFonts w:ascii="Times New Roman" w:hAnsi="Times New Roman" w:cs="Times New Roman"/>
          <w:sz w:val="24"/>
          <w:szCs w:val="24"/>
        </w:rPr>
        <w:t>,</w:t>
      </w:r>
      <w:r w:rsidR="005C4964" w:rsidRPr="00EF1FE6">
        <w:rPr>
          <w:rFonts w:ascii="Times New Roman" w:hAnsi="Times New Roman" w:cs="Times New Roman"/>
          <w:sz w:val="24"/>
          <w:szCs w:val="24"/>
        </w:rPr>
        <w:t xml:space="preserve"> Ph.D.,</w:t>
      </w:r>
      <w:r w:rsidRPr="00EF1FE6">
        <w:rPr>
          <w:rFonts w:ascii="Times New Roman" w:hAnsi="Times New Roman" w:cs="Times New Roman"/>
          <w:sz w:val="24"/>
          <w:szCs w:val="24"/>
        </w:rPr>
        <w:t xml:space="preserve"> Výzkumný ústav živočišné výroby, v. v. i., Praha – Uhříněves, </w:t>
      </w:r>
      <w:r w:rsidR="005C4964" w:rsidRPr="00EF1FE6">
        <w:rPr>
          <w:rFonts w:ascii="Times New Roman" w:hAnsi="Times New Roman" w:cs="Times New Roman"/>
          <w:sz w:val="24"/>
          <w:szCs w:val="24"/>
        </w:rPr>
        <w:t>stanek.stanislav</w:t>
      </w:r>
      <w:r w:rsidRPr="00EF1FE6">
        <w:rPr>
          <w:rFonts w:ascii="Times New Roman" w:hAnsi="Times New Roman" w:cs="Times New Roman"/>
          <w:sz w:val="24"/>
          <w:szCs w:val="24"/>
        </w:rPr>
        <w:t>@vuzv.cz</w:t>
      </w:r>
    </w:p>
    <w:sectPr w:rsidR="00B50B31" w:rsidRPr="00EF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a">
    <w15:presenceInfo w15:providerId="None" w15:userId="S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07405"/>
    <w:rsid w:val="00012746"/>
    <w:rsid w:val="00013640"/>
    <w:rsid w:val="0003081F"/>
    <w:rsid w:val="00031E1F"/>
    <w:rsid w:val="00045277"/>
    <w:rsid w:val="0006020A"/>
    <w:rsid w:val="0008389F"/>
    <w:rsid w:val="00090CFA"/>
    <w:rsid w:val="000C23AB"/>
    <w:rsid w:val="000D2977"/>
    <w:rsid w:val="000D5DF3"/>
    <w:rsid w:val="001243BA"/>
    <w:rsid w:val="00124C28"/>
    <w:rsid w:val="001310F5"/>
    <w:rsid w:val="001321B4"/>
    <w:rsid w:val="00132723"/>
    <w:rsid w:val="0014463F"/>
    <w:rsid w:val="001741EC"/>
    <w:rsid w:val="00192D1F"/>
    <w:rsid w:val="00197576"/>
    <w:rsid w:val="001B0AA3"/>
    <w:rsid w:val="001B11D9"/>
    <w:rsid w:val="001C1464"/>
    <w:rsid w:val="001D6E22"/>
    <w:rsid w:val="002210F0"/>
    <w:rsid w:val="00231710"/>
    <w:rsid w:val="00253215"/>
    <w:rsid w:val="00262C51"/>
    <w:rsid w:val="002B2C4E"/>
    <w:rsid w:val="002B60EA"/>
    <w:rsid w:val="002C5F47"/>
    <w:rsid w:val="002C7405"/>
    <w:rsid w:val="002D3947"/>
    <w:rsid w:val="002D68D0"/>
    <w:rsid w:val="003246D3"/>
    <w:rsid w:val="003361CD"/>
    <w:rsid w:val="00364EF1"/>
    <w:rsid w:val="003764C9"/>
    <w:rsid w:val="003A1378"/>
    <w:rsid w:val="003A476A"/>
    <w:rsid w:val="003B1492"/>
    <w:rsid w:val="003B78F9"/>
    <w:rsid w:val="00400095"/>
    <w:rsid w:val="00460F88"/>
    <w:rsid w:val="0050402A"/>
    <w:rsid w:val="005062B2"/>
    <w:rsid w:val="00541872"/>
    <w:rsid w:val="005A0A0F"/>
    <w:rsid w:val="005A294F"/>
    <w:rsid w:val="005B11A9"/>
    <w:rsid w:val="005B3ABB"/>
    <w:rsid w:val="005B7CFE"/>
    <w:rsid w:val="005C1372"/>
    <w:rsid w:val="005C4964"/>
    <w:rsid w:val="005D5A8B"/>
    <w:rsid w:val="005E3718"/>
    <w:rsid w:val="005E3923"/>
    <w:rsid w:val="005F218B"/>
    <w:rsid w:val="006831E8"/>
    <w:rsid w:val="00692A37"/>
    <w:rsid w:val="006F4C16"/>
    <w:rsid w:val="006F6FAD"/>
    <w:rsid w:val="0070093A"/>
    <w:rsid w:val="00706871"/>
    <w:rsid w:val="00715303"/>
    <w:rsid w:val="007161DE"/>
    <w:rsid w:val="00716BA5"/>
    <w:rsid w:val="00720D3B"/>
    <w:rsid w:val="00735C86"/>
    <w:rsid w:val="00761101"/>
    <w:rsid w:val="00773C5E"/>
    <w:rsid w:val="00776D1D"/>
    <w:rsid w:val="0078530F"/>
    <w:rsid w:val="00790B60"/>
    <w:rsid w:val="007A5DD3"/>
    <w:rsid w:val="007A6E99"/>
    <w:rsid w:val="007C676E"/>
    <w:rsid w:val="007E2C5D"/>
    <w:rsid w:val="00800116"/>
    <w:rsid w:val="00817A84"/>
    <w:rsid w:val="008230A5"/>
    <w:rsid w:val="00842CB6"/>
    <w:rsid w:val="00864486"/>
    <w:rsid w:val="008B7164"/>
    <w:rsid w:val="008E67A5"/>
    <w:rsid w:val="00950425"/>
    <w:rsid w:val="009508E9"/>
    <w:rsid w:val="0099029E"/>
    <w:rsid w:val="009C1A49"/>
    <w:rsid w:val="009D1851"/>
    <w:rsid w:val="009D3632"/>
    <w:rsid w:val="009E3C7C"/>
    <w:rsid w:val="009F5293"/>
    <w:rsid w:val="00A040D3"/>
    <w:rsid w:val="00A0709E"/>
    <w:rsid w:val="00A13DE4"/>
    <w:rsid w:val="00A25D59"/>
    <w:rsid w:val="00A358E6"/>
    <w:rsid w:val="00A40746"/>
    <w:rsid w:val="00A46064"/>
    <w:rsid w:val="00A5709E"/>
    <w:rsid w:val="00A67A13"/>
    <w:rsid w:val="00A81942"/>
    <w:rsid w:val="00A920FF"/>
    <w:rsid w:val="00AA2351"/>
    <w:rsid w:val="00AC2394"/>
    <w:rsid w:val="00AF04C6"/>
    <w:rsid w:val="00B1594C"/>
    <w:rsid w:val="00B34F45"/>
    <w:rsid w:val="00B50B31"/>
    <w:rsid w:val="00B8378B"/>
    <w:rsid w:val="00BB778C"/>
    <w:rsid w:val="00BE1E05"/>
    <w:rsid w:val="00BE4200"/>
    <w:rsid w:val="00C65B83"/>
    <w:rsid w:val="00C70905"/>
    <w:rsid w:val="00C818D3"/>
    <w:rsid w:val="00C84C63"/>
    <w:rsid w:val="00C95F4D"/>
    <w:rsid w:val="00D05D4F"/>
    <w:rsid w:val="00D150D0"/>
    <w:rsid w:val="00D32901"/>
    <w:rsid w:val="00D34035"/>
    <w:rsid w:val="00D34B4A"/>
    <w:rsid w:val="00D53E80"/>
    <w:rsid w:val="00D86937"/>
    <w:rsid w:val="00DA462D"/>
    <w:rsid w:val="00DB4328"/>
    <w:rsid w:val="00DE5A37"/>
    <w:rsid w:val="00E10ABF"/>
    <w:rsid w:val="00E4565F"/>
    <w:rsid w:val="00E456F1"/>
    <w:rsid w:val="00E53512"/>
    <w:rsid w:val="00E53A82"/>
    <w:rsid w:val="00E60447"/>
    <w:rsid w:val="00E92FED"/>
    <w:rsid w:val="00E96417"/>
    <w:rsid w:val="00EB4EBC"/>
    <w:rsid w:val="00ED1169"/>
    <w:rsid w:val="00ED281F"/>
    <w:rsid w:val="00EE1263"/>
    <w:rsid w:val="00EF1FE6"/>
    <w:rsid w:val="00EF22F0"/>
    <w:rsid w:val="00F15DE7"/>
    <w:rsid w:val="00F37B0C"/>
    <w:rsid w:val="00F51FD0"/>
    <w:rsid w:val="00F53F3E"/>
    <w:rsid w:val="00F60BA3"/>
    <w:rsid w:val="00F624DD"/>
    <w:rsid w:val="00F74A4D"/>
    <w:rsid w:val="00F75F5F"/>
    <w:rsid w:val="00F85829"/>
    <w:rsid w:val="00F90472"/>
    <w:rsid w:val="00FD653D"/>
    <w:rsid w:val="00FE673D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F5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60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F5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60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Uživatel</cp:lastModifiedBy>
  <cp:revision>8</cp:revision>
  <cp:lastPrinted>2017-11-15T20:24:00Z</cp:lastPrinted>
  <dcterms:created xsi:type="dcterms:W3CDTF">2018-06-22T19:31:00Z</dcterms:created>
  <dcterms:modified xsi:type="dcterms:W3CDTF">2018-06-23T14:27:00Z</dcterms:modified>
</cp:coreProperties>
</file>