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28" w:rsidRDefault="008F1CA9" w:rsidP="009E7B96">
      <w:pPr>
        <w:jc w:val="center"/>
        <w:sectPr w:rsidR="00460728" w:rsidSect="001A30E1">
          <w:pgSz w:w="11906" w:h="16838" w:code="9"/>
          <w:pgMar w:top="1134" w:right="964" w:bottom="1134" w:left="964" w:header="680" w:footer="624" w:gutter="0"/>
          <w:cols w:space="708"/>
          <w:docGrid w:linePitch="360"/>
        </w:sectPr>
      </w:pPr>
      <w:r>
        <w:rPr>
          <w:noProof/>
        </w:rPr>
        <mc:AlternateContent>
          <mc:Choice Requires="wps">
            <w:drawing>
              <wp:anchor distT="0" distB="0" distL="114300" distR="114300" simplePos="0" relativeHeight="251672576" behindDoc="0" locked="0" layoutInCell="1" allowOverlap="1" wp14:anchorId="796488A8" wp14:editId="20DB9011">
                <wp:simplePos x="0" y="0"/>
                <wp:positionH relativeFrom="column">
                  <wp:posOffset>597535</wp:posOffset>
                </wp:positionH>
                <wp:positionV relativeFrom="page">
                  <wp:posOffset>9658350</wp:posOffset>
                </wp:positionV>
                <wp:extent cx="5708015" cy="57912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5708015" cy="57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5C3" w:rsidRPr="00FC6B5C" w:rsidRDefault="001875C3" w:rsidP="0010123A">
                            <w:pPr>
                              <w:tabs>
                                <w:tab w:val="left" w:pos="1418"/>
                              </w:tabs>
                              <w:rPr>
                                <w:rFonts w:cs="Tahoma"/>
                                <w:sz w:val="24"/>
                                <w:szCs w:val="24"/>
                              </w:rPr>
                            </w:pPr>
                            <w:r w:rsidRPr="00FC6B5C">
                              <w:rPr>
                                <w:rFonts w:cs="Tahoma"/>
                                <w:sz w:val="24"/>
                                <w:szCs w:val="24"/>
                              </w:rPr>
                              <w:t>201</w:t>
                            </w:r>
                            <w:r>
                              <w:rPr>
                                <w:rFonts w:cs="Tahoma"/>
                                <w:sz w:val="24"/>
                                <w:szCs w:val="24"/>
                              </w:rPr>
                              <w:t>7</w:t>
                            </w:r>
                            <w:r w:rsidRPr="00FC6B5C">
                              <w:rPr>
                                <w:rFonts w:cs="Tahoma"/>
                                <w:sz w:val="24"/>
                                <w:szCs w:val="24"/>
                              </w:rPr>
                              <w:t xml:space="preserve">     </w:t>
                            </w:r>
                            <w:r w:rsidRPr="00FC6B5C">
                              <w:rPr>
                                <w:rFonts w:cs="Tahoma"/>
                                <w:sz w:val="24"/>
                                <w:szCs w:val="24"/>
                              </w:rPr>
                              <w:tab/>
                            </w:r>
                            <w:r w:rsidRPr="00FC6B5C">
                              <w:rPr>
                                <w:rFonts w:cs="Tahoma"/>
                                <w:sz w:val="24"/>
                                <w:szCs w:val="24"/>
                              </w:rPr>
                              <w:tab/>
                            </w:r>
                            <w:r w:rsidRPr="00FC6B5C">
                              <w:rPr>
                                <w:rFonts w:cs="Tahoma"/>
                                <w:sz w:val="24"/>
                                <w:szCs w:val="24"/>
                              </w:rPr>
                              <w:tab/>
                            </w:r>
                            <w:r w:rsidRPr="00FC6B5C">
                              <w:rPr>
                                <w:rFonts w:cs="Tahoma"/>
                                <w:sz w:val="24"/>
                                <w:szCs w:val="24"/>
                              </w:rPr>
                              <w:tab/>
                            </w:r>
                            <w:r w:rsidRPr="00FC6B5C">
                              <w:rPr>
                                <w:rFonts w:cs="Tahoma"/>
                                <w:sz w:val="24"/>
                                <w:szCs w:val="24"/>
                              </w:rPr>
                              <w:tab/>
                            </w:r>
                            <w:r w:rsidR="008F1CA9">
                              <w:rPr>
                                <w:rFonts w:cs="Tahoma"/>
                                <w:sz w:val="24"/>
                                <w:szCs w:val="24"/>
                              </w:rPr>
                              <w:tab/>
                            </w:r>
                            <w:r w:rsidRPr="00FC6B5C">
                              <w:rPr>
                                <w:rFonts w:cs="Tahoma"/>
                                <w:sz w:val="24"/>
                                <w:szCs w:val="24"/>
                              </w:rPr>
                              <w:t xml:space="preserve"> </w:t>
                            </w:r>
                            <w:r w:rsidR="008F1CA9">
                              <w:rPr>
                                <w:rFonts w:cs="Tahoma"/>
                                <w:sz w:val="24"/>
                                <w:szCs w:val="24"/>
                              </w:rPr>
                              <w:tab/>
                            </w:r>
                            <w:r w:rsidR="008F1CA9">
                              <w:rPr>
                                <w:rFonts w:cs="Tahoma"/>
                                <w:sz w:val="24"/>
                                <w:szCs w:val="24"/>
                              </w:rPr>
                              <w:tab/>
                            </w:r>
                            <w:r w:rsidRPr="00FC6B5C">
                              <w:rPr>
                                <w:rFonts w:cs="Tahoma"/>
                                <w:sz w:val="24"/>
                                <w:szCs w:val="24"/>
                              </w:rPr>
                              <w:t>VÝZKUM PRO PRAXI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8" o:spid="_x0000_s1026" type="#_x0000_t202" style="position:absolute;left:0;text-align:left;margin-left:47.05pt;margin-top:760.5pt;width:449.45pt;height:4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0vhwIAAGkFAAAOAAAAZHJzL2Uyb0RvYy54bWysVN1u0zAUvkfiHSzfs6Rj3U+1dCqbhpAm&#10;NrGhXbuOvUY4PsZ225Q34jl4MT47aVcNboa4cU7O+c7/z/lF1xq2Uj40ZCs+Oig5U1ZS3dinin99&#10;uH53ylmIwtbCkFUV36jAL6Zv35yv3UQd0oJMrTyDERsma1fxRYxuUhRBLlQrwgE5ZSHU5FsR8euf&#10;itqLNay3pjgsy+NiTb52nqQKAdyrXsin2b7WSsZbrYOKzFQcscX8+vzO01tMz8XkyQu3aOQQhviH&#10;KFrRWDjdmboSUbClb/4w1TbSUyAdDyS1BWndSJVzQDaj8kU29wvhVM4FxQluV6bw/8zKz6s7z5oa&#10;vUOnrGjRowfVRVr9+skcGcXAR5HWLkyAvXdAx+4DdVDY8gOYKfdO+zZ9kRWDHOXe7EoMk0yCOT4p&#10;T8vRmDMJ2fjkbHSYe1A8azsf4kdFLUtExT1amCsrVjchIhJAt5DkzNJ1Y0xuo7FsXfHj9+MyK+wk&#10;0DA2YVUeiMFMyqiPPFNxY1TCGPtFaRQkJ5AYeRTVpfFsJTBEQkplY8492wU6oTSCeI3igH+O6jXK&#10;fR5bz2TjTrltLPmc/Yuw62/bkHWPRyH38k5k7Obd0Ok51Rs02lO/L8HJ6wbduBEh3gmPBUFvsfTx&#10;Fo82hKrTQHG2IP/jb/yEx9xCytkaC1fx8H0pvOLMfLKY6LPR0VHa0PxzND7BYDC/L5nvS+yyvSS0&#10;Y4Tz4mQmEz6aLak9tY+4DbPkFSJhJXxXPG7Jy9ifAdwWqWazDMJOOhFv7L2TyXTqTpq1h+5ReDcM&#10;ZMQof6btaorJi7nssUnT0mwZSTd5aFOB+6oOhcc+51kebk86GPv/GfV8Iae/AQAA//8DAFBLAwQU&#10;AAYACAAAACEAaVqjzuMAAAAMAQAADwAAAGRycy9kb3ducmV2LnhtbEyPzU7DMBCE70i8g7VI3KgT&#10;Q6smxKmqSBUSKoeWXrg58TaJ8E+I3Tbw9GxPcNudHc1+U6wma9gZx9B7JyGdJcDQNV73rpVweN88&#10;LIGFqJxWxjuU8I0BVuXtTaFy7S9uh+d9bBmFuJArCV2MQ855aDq0Ksz8gI5uRz9aFWkdW65HdaFw&#10;a7hIkgW3qnf0oVMDVh02n/uTlfBabd7UrhZ2+WOql+1xPXwdPuZS3t9N62dgEaf4Z4YrPqFDSUy1&#10;PzkdmJGQPaXkJH0uUipFjix7pKEmaZEKAbws+P8S5S8AAAD//wMAUEsBAi0AFAAGAAgAAAAhALaD&#10;OJL+AAAA4QEAABMAAAAAAAAAAAAAAAAAAAAAAFtDb250ZW50X1R5cGVzXS54bWxQSwECLQAUAAYA&#10;CAAAACEAOP0h/9YAAACUAQAACwAAAAAAAAAAAAAAAAAvAQAAX3JlbHMvLnJlbHNQSwECLQAUAAYA&#10;CAAAACEAJ0n9L4cCAABpBQAADgAAAAAAAAAAAAAAAAAuAgAAZHJzL2Uyb0RvYy54bWxQSwECLQAU&#10;AAYACAAAACEAaVqjzuMAAAAMAQAADwAAAAAAAAAAAAAAAADhBAAAZHJzL2Rvd25yZXYueG1sUEsF&#10;BgAAAAAEAAQA8wAAAPEFAAAAAA==&#10;" filled="f" stroked="f" strokeweight=".5pt">
                <v:textbox>
                  <w:txbxContent>
                    <w:p w:rsidR="001875C3" w:rsidRPr="00FC6B5C" w:rsidRDefault="001875C3" w:rsidP="0010123A">
                      <w:pPr>
                        <w:tabs>
                          <w:tab w:val="left" w:pos="1418"/>
                        </w:tabs>
                        <w:rPr>
                          <w:rFonts w:cs="Tahoma"/>
                          <w:sz w:val="24"/>
                          <w:szCs w:val="24"/>
                        </w:rPr>
                      </w:pPr>
                      <w:r w:rsidRPr="00FC6B5C">
                        <w:rPr>
                          <w:rFonts w:cs="Tahoma"/>
                          <w:sz w:val="24"/>
                          <w:szCs w:val="24"/>
                        </w:rPr>
                        <w:t>201</w:t>
                      </w:r>
                      <w:r>
                        <w:rPr>
                          <w:rFonts w:cs="Tahoma"/>
                          <w:sz w:val="24"/>
                          <w:szCs w:val="24"/>
                        </w:rPr>
                        <w:t>7</w:t>
                      </w:r>
                      <w:r w:rsidRPr="00FC6B5C">
                        <w:rPr>
                          <w:rFonts w:cs="Tahoma"/>
                          <w:sz w:val="24"/>
                          <w:szCs w:val="24"/>
                        </w:rPr>
                        <w:t xml:space="preserve">     </w:t>
                      </w:r>
                      <w:r w:rsidRPr="00FC6B5C">
                        <w:rPr>
                          <w:rFonts w:cs="Tahoma"/>
                          <w:sz w:val="24"/>
                          <w:szCs w:val="24"/>
                        </w:rPr>
                        <w:tab/>
                      </w:r>
                      <w:r w:rsidRPr="00FC6B5C">
                        <w:rPr>
                          <w:rFonts w:cs="Tahoma"/>
                          <w:sz w:val="24"/>
                          <w:szCs w:val="24"/>
                        </w:rPr>
                        <w:tab/>
                      </w:r>
                      <w:r w:rsidRPr="00FC6B5C">
                        <w:rPr>
                          <w:rFonts w:cs="Tahoma"/>
                          <w:sz w:val="24"/>
                          <w:szCs w:val="24"/>
                        </w:rPr>
                        <w:tab/>
                      </w:r>
                      <w:r w:rsidRPr="00FC6B5C">
                        <w:rPr>
                          <w:rFonts w:cs="Tahoma"/>
                          <w:sz w:val="24"/>
                          <w:szCs w:val="24"/>
                        </w:rPr>
                        <w:tab/>
                      </w:r>
                      <w:r w:rsidRPr="00FC6B5C">
                        <w:rPr>
                          <w:rFonts w:cs="Tahoma"/>
                          <w:sz w:val="24"/>
                          <w:szCs w:val="24"/>
                        </w:rPr>
                        <w:tab/>
                      </w:r>
                      <w:r w:rsidR="008F1CA9">
                        <w:rPr>
                          <w:rFonts w:cs="Tahoma"/>
                          <w:sz w:val="24"/>
                          <w:szCs w:val="24"/>
                        </w:rPr>
                        <w:tab/>
                      </w:r>
                      <w:r w:rsidRPr="00FC6B5C">
                        <w:rPr>
                          <w:rFonts w:cs="Tahoma"/>
                          <w:sz w:val="24"/>
                          <w:szCs w:val="24"/>
                        </w:rPr>
                        <w:t xml:space="preserve"> </w:t>
                      </w:r>
                      <w:r w:rsidR="008F1CA9">
                        <w:rPr>
                          <w:rFonts w:cs="Tahoma"/>
                          <w:sz w:val="24"/>
                          <w:szCs w:val="24"/>
                        </w:rPr>
                        <w:tab/>
                      </w:r>
                      <w:r w:rsidR="008F1CA9">
                        <w:rPr>
                          <w:rFonts w:cs="Tahoma"/>
                          <w:sz w:val="24"/>
                          <w:szCs w:val="24"/>
                        </w:rPr>
                        <w:tab/>
                      </w:r>
                      <w:r w:rsidRPr="00FC6B5C">
                        <w:rPr>
                          <w:rFonts w:cs="Tahoma"/>
                          <w:sz w:val="24"/>
                          <w:szCs w:val="24"/>
                        </w:rPr>
                        <w:t>VÝZKUM PRO PRAXI</w:t>
                      </w:r>
                    </w:p>
                  </w:txbxContent>
                </v:textbox>
                <w10:wrap anchory="page"/>
              </v:shape>
            </w:pict>
          </mc:Fallback>
        </mc:AlternateContent>
      </w:r>
      <w:r w:rsidR="00E06E10">
        <w:rPr>
          <w:noProof/>
        </w:rPr>
        <w:drawing>
          <wp:anchor distT="0" distB="0" distL="114300" distR="114300" simplePos="0" relativeHeight="251685888" behindDoc="0" locked="0" layoutInCell="1" allowOverlap="1" wp14:anchorId="22F804F1" wp14:editId="1FE256B6">
            <wp:simplePos x="0" y="0"/>
            <wp:positionH relativeFrom="column">
              <wp:posOffset>241935</wp:posOffset>
            </wp:positionH>
            <wp:positionV relativeFrom="paragraph">
              <wp:posOffset>4293680</wp:posOffset>
            </wp:positionV>
            <wp:extent cx="6066155" cy="3452495"/>
            <wp:effectExtent l="133350" t="114300" r="125095" b="1098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1.JPG"/>
                    <pic:cNvPicPr/>
                  </pic:nvPicPr>
                  <pic:blipFill rotWithShape="1">
                    <a:blip r:embed="rId9" cstate="print">
                      <a:extLst>
                        <a:ext uri="{28A0092B-C50C-407E-A947-70E740481C1C}">
                          <a14:useLocalDpi xmlns:a14="http://schemas.microsoft.com/office/drawing/2010/main" val="0"/>
                        </a:ext>
                      </a:extLst>
                    </a:blip>
                    <a:srcRect l="9328" t="17158" b="5417"/>
                    <a:stretch/>
                  </pic:blipFill>
                  <pic:spPr bwMode="auto">
                    <a:xfrm>
                      <a:off x="0" y="0"/>
                      <a:ext cx="6066155" cy="34524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E10">
        <w:rPr>
          <w:noProof/>
        </w:rPr>
        <mc:AlternateContent>
          <mc:Choice Requires="wps">
            <w:drawing>
              <wp:anchor distT="0" distB="0" distL="114300" distR="114300" simplePos="0" relativeHeight="251694080" behindDoc="0" locked="0" layoutInCell="1" allowOverlap="1" wp14:anchorId="492550B2" wp14:editId="37958891">
                <wp:simplePos x="0" y="0"/>
                <wp:positionH relativeFrom="column">
                  <wp:posOffset>194945</wp:posOffset>
                </wp:positionH>
                <wp:positionV relativeFrom="paragraph">
                  <wp:posOffset>7897305</wp:posOffset>
                </wp:positionV>
                <wp:extent cx="6223825" cy="712470"/>
                <wp:effectExtent l="0" t="0" r="0" b="0"/>
                <wp:wrapNone/>
                <wp:docPr id="31756" name="Textové pole 31756"/>
                <wp:cNvGraphicFramePr/>
                <a:graphic xmlns:a="http://schemas.openxmlformats.org/drawingml/2006/main">
                  <a:graphicData uri="http://schemas.microsoft.com/office/word/2010/wordprocessingShape">
                    <wps:wsp>
                      <wps:cNvSpPr txBox="1"/>
                      <wps:spPr>
                        <a:xfrm>
                          <a:off x="0" y="0"/>
                          <a:ext cx="622382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5C3" w:rsidRPr="00E06E10" w:rsidRDefault="001875C3" w:rsidP="00E06E10">
                            <w:pPr>
                              <w:pStyle w:val="Default"/>
                              <w:spacing w:line="264" w:lineRule="auto"/>
                              <w:jc w:val="center"/>
                              <w:rPr>
                                <w:rFonts w:ascii="Lato" w:hAnsi="Lato"/>
                                <w:b/>
                                <w:color w:val="404040" w:themeColor="text1" w:themeTint="BF"/>
                                <w:sz w:val="22"/>
                                <w:szCs w:val="22"/>
                              </w:rPr>
                            </w:pPr>
                            <w:r w:rsidRPr="00E06E10">
                              <w:rPr>
                                <w:rFonts w:ascii="Lato" w:hAnsi="Lato"/>
                                <w:b/>
                                <w:color w:val="404040" w:themeColor="text1" w:themeTint="BF"/>
                                <w:sz w:val="22"/>
                                <w:szCs w:val="22"/>
                              </w:rPr>
                              <w:t>Farmářský den je pořádán za podpory Ministerstva zemědělství ČR</w:t>
                            </w:r>
                            <w:r w:rsidRPr="00E06E10">
                              <w:rPr>
                                <w:rFonts w:ascii="Lato" w:hAnsi="Lato"/>
                                <w:b/>
                                <w:color w:val="404040" w:themeColor="text1" w:themeTint="BF"/>
                                <w:sz w:val="22"/>
                                <w:szCs w:val="22"/>
                              </w:rPr>
                              <w:br/>
                              <w:t xml:space="preserve"> při České technologické platformě pro zemědělství.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756" o:spid="_x0000_s1027" type="#_x0000_t202" style="position:absolute;left:0;text-align:left;margin-left:15.35pt;margin-top:621.85pt;width:490.05pt;height:5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PKjQIAAHYFAAAOAAAAZHJzL2Uyb0RvYy54bWysVMlu2zAQvRfoPxC8N7IVL6kROXATpChg&#10;JEHtImeaImOhJIclaUvuH+U7+mMdUvICt5cUvUjD2efNcn3TaEW2wvkKTEH7Fz1KhOFQVualoN+W&#10;9x+uKPGBmZIpMKKgO+HpzfT9u+vaTkQOa1ClcASdGD+pbUHXIdhJlnm+Fpr5C7DCoFCC0yzg071k&#10;pWM1etcqy3u9UVaDK60DLrxH7l0rpNPkX0rBw6OUXgSiCoq5hfR16buK32x6zSYvjtl1xbs02D9k&#10;oVllMOjB1R0LjGxc9YcrXXEHHmS44KAzkLLiItWA1fR7Z9Us1syKVAuC4+0BJv//3PKH7ZMjVVnQ&#10;y/54OKLEMI1tWoomwPbXK7GgBGlFCFVt/QQtFhZtQvMJGmx5hDDyPTIjAo10Ov6xNoJyBH13ABq9&#10;Eo7MUZ5fXuVDSjjKxv18ME6dyI7W1vnwWYAmkSiow0YmfNl27gNGRNW9Sgxm4L5SKjVTGVJjhMth&#10;LxkcJGihTNQVaSw6N8fMExV2SkQdZb4KibCkAiIjDaS4VY5sGY4S41yYkGpPflE7aklM4i2Gnf4x&#10;q7cYt3XsI4MJB2NdGXCp+rO0y+/7lGWrj0Ce1B3J0KyaNA+Hxq6g3GG/HbTL4y2/r7Apc+bDE3O4&#10;LdhivADhET9SAYIPHUXJGtzPv/GjPg4xSimpcfsK6n9smBOUqC8Gx/tjfzCI65oeg+E4x4c7laxO&#10;JWajbwG70sdbY3kio35Qe1I60M94KGYxKoqY4Ri7oGFP3ob2JuCh4WI2S0q4oJaFuVlYHl3HJsWR&#10;WzbPzNluLgNO9APs95RNzsaz1Y2WBmabALJKsxtxblHt8MflTiPdHaJ4PU7fSet4Lqe/AQAA//8D&#10;AFBLAwQUAAYACAAAACEA92AzluMAAAANAQAADwAAAGRycy9kb3ducmV2LnhtbEyPzU7DMBCE70i8&#10;g7VI3KjdhEAJcaoqUoWE6KGlF25OvE0i/BNitw08PdsT3GZ3R7PfFMvJGnbCMfTeSZjPBDB0jde9&#10;ayXs39d3C2AhKqeV8Q4lfGOAZXl9Vahc+7Pb4mkXW0YhLuRKQhfjkHMemg6tCjM/oKPbwY9WRRrH&#10;lutRnSncGp4I8cCt6h196NSAVYfN5+5oJbxW643a1old/Jjq5e2wGr72H5mUtzfT6hlYxCn+meGC&#10;T+hQElPtj04HZiSk4pGctE/uU1IXh5gLalOTSrPsCXhZ8P8tyl8AAAD//wMAUEsBAi0AFAAGAAgA&#10;AAAhALaDOJL+AAAA4QEAABMAAAAAAAAAAAAAAAAAAAAAAFtDb250ZW50X1R5cGVzXS54bWxQSwEC&#10;LQAUAAYACAAAACEAOP0h/9YAAACUAQAACwAAAAAAAAAAAAAAAAAvAQAAX3JlbHMvLnJlbHNQSwEC&#10;LQAUAAYACAAAACEA9dVzyo0CAAB2BQAADgAAAAAAAAAAAAAAAAAuAgAAZHJzL2Uyb0RvYy54bWxQ&#10;SwECLQAUAAYACAAAACEA92AzluMAAAANAQAADwAAAAAAAAAAAAAAAADnBAAAZHJzL2Rvd25yZXYu&#10;eG1sUEsFBgAAAAAEAAQA8wAAAPcFAAAAAA==&#10;" filled="f" stroked="f" strokeweight=".5pt">
                <v:textbox>
                  <w:txbxContent>
                    <w:p w:rsidR="001875C3" w:rsidRPr="00E06E10" w:rsidRDefault="001875C3" w:rsidP="00E06E10">
                      <w:pPr>
                        <w:pStyle w:val="Default"/>
                        <w:spacing w:line="264" w:lineRule="auto"/>
                        <w:jc w:val="center"/>
                        <w:rPr>
                          <w:rFonts w:ascii="Lato" w:hAnsi="Lato"/>
                          <w:b/>
                          <w:color w:val="404040" w:themeColor="text1" w:themeTint="BF"/>
                          <w:sz w:val="22"/>
                          <w:szCs w:val="22"/>
                        </w:rPr>
                      </w:pPr>
                      <w:r w:rsidRPr="00E06E10">
                        <w:rPr>
                          <w:rFonts w:ascii="Lato" w:hAnsi="Lato"/>
                          <w:b/>
                          <w:color w:val="404040" w:themeColor="text1" w:themeTint="BF"/>
                          <w:sz w:val="22"/>
                          <w:szCs w:val="22"/>
                        </w:rPr>
                        <w:t>Farmářský den je pořádán za podpory Ministerstva zemědělství ČR</w:t>
                      </w:r>
                      <w:r w:rsidRPr="00E06E10">
                        <w:rPr>
                          <w:rFonts w:ascii="Lato" w:hAnsi="Lato"/>
                          <w:b/>
                          <w:color w:val="404040" w:themeColor="text1" w:themeTint="BF"/>
                          <w:sz w:val="22"/>
                          <w:szCs w:val="22"/>
                        </w:rPr>
                        <w:br/>
                        <w:t xml:space="preserve"> při České technologické platformě pro zemědělství.</w:t>
                      </w:r>
                    </w:p>
                  </w:txbxContent>
                </v:textbox>
              </v:shape>
            </w:pict>
          </mc:Fallback>
        </mc:AlternateContent>
      </w:r>
      <w:r w:rsidR="00E06E10">
        <w:rPr>
          <w:noProof/>
        </w:rPr>
        <w:drawing>
          <wp:anchor distT="0" distB="0" distL="114300" distR="114300" simplePos="0" relativeHeight="251686912" behindDoc="0" locked="0" layoutInCell="1" allowOverlap="1" wp14:anchorId="7EA4FC96" wp14:editId="1A7B0580">
            <wp:simplePos x="0" y="0"/>
            <wp:positionH relativeFrom="column">
              <wp:posOffset>3756859</wp:posOffset>
            </wp:positionH>
            <wp:positionV relativeFrom="paragraph">
              <wp:posOffset>348689</wp:posOffset>
            </wp:positionV>
            <wp:extent cx="2561678" cy="700644"/>
            <wp:effectExtent l="0" t="0" r="0" b="4445"/>
            <wp:wrapNone/>
            <wp:docPr id="7177" name="Obráze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logo_ofi.KOMPL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292" cy="700265"/>
                    </a:xfrm>
                    <a:prstGeom prst="rect">
                      <a:avLst/>
                    </a:prstGeom>
                  </pic:spPr>
                </pic:pic>
              </a:graphicData>
            </a:graphic>
            <wp14:sizeRelH relativeFrom="margin">
              <wp14:pctWidth>0</wp14:pctWidth>
            </wp14:sizeRelH>
            <wp14:sizeRelV relativeFrom="margin">
              <wp14:pctHeight>0</wp14:pctHeight>
            </wp14:sizeRelV>
          </wp:anchor>
        </w:drawing>
      </w:r>
      <w:r w:rsidR="00E06E10">
        <w:rPr>
          <w:noProof/>
        </w:rPr>
        <w:drawing>
          <wp:anchor distT="0" distB="0" distL="114300" distR="114300" simplePos="0" relativeHeight="251693056" behindDoc="0" locked="0" layoutInCell="1" allowOverlap="1" wp14:anchorId="7C8EAE7A" wp14:editId="08C87A41">
            <wp:simplePos x="0" y="0"/>
            <wp:positionH relativeFrom="column">
              <wp:posOffset>550207</wp:posOffset>
            </wp:positionH>
            <wp:positionV relativeFrom="paragraph">
              <wp:posOffset>75433</wp:posOffset>
            </wp:positionV>
            <wp:extent cx="2322830" cy="1102995"/>
            <wp:effectExtent l="0" t="0" r="0" b="0"/>
            <wp:wrapNone/>
            <wp:docPr id="31755" name="Obrázek 3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ZE PRŮHLEDNÉ.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2830" cy="1102995"/>
                    </a:xfrm>
                    <a:prstGeom prst="rect">
                      <a:avLst/>
                    </a:prstGeom>
                  </pic:spPr>
                </pic:pic>
              </a:graphicData>
            </a:graphic>
            <wp14:sizeRelH relativeFrom="margin">
              <wp14:pctWidth>0</wp14:pctWidth>
            </wp14:sizeRelH>
            <wp14:sizeRelV relativeFrom="margin">
              <wp14:pctHeight>0</wp14:pctHeight>
            </wp14:sizeRelV>
          </wp:anchor>
        </w:drawing>
      </w:r>
      <w:r w:rsidR="00E06E10">
        <w:rPr>
          <w:noProof/>
        </w:rPr>
        <mc:AlternateContent>
          <mc:Choice Requires="wps">
            <w:drawing>
              <wp:anchor distT="0" distB="0" distL="114300" distR="114300" simplePos="0" relativeHeight="251670528" behindDoc="0" locked="0" layoutInCell="1" allowOverlap="1" wp14:anchorId="0E06D3BA" wp14:editId="36F53E51">
                <wp:simplePos x="0" y="0"/>
                <wp:positionH relativeFrom="page">
                  <wp:posOffset>798830</wp:posOffset>
                </wp:positionH>
                <wp:positionV relativeFrom="page">
                  <wp:posOffset>2853690</wp:posOffset>
                </wp:positionV>
                <wp:extent cx="6235700" cy="1882775"/>
                <wp:effectExtent l="0" t="0" r="0" b="3175"/>
                <wp:wrapNone/>
                <wp:docPr id="17" name="Textové pole 17"/>
                <wp:cNvGraphicFramePr/>
                <a:graphic xmlns:a="http://schemas.openxmlformats.org/drawingml/2006/main">
                  <a:graphicData uri="http://schemas.microsoft.com/office/word/2010/wordprocessingShape">
                    <wps:wsp>
                      <wps:cNvSpPr txBox="1"/>
                      <wps:spPr>
                        <a:xfrm>
                          <a:off x="0" y="0"/>
                          <a:ext cx="6235700" cy="188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5C3" w:rsidRPr="005B1C60" w:rsidRDefault="001875C3" w:rsidP="00CF6E8E">
                            <w:pPr>
                              <w:jc w:val="center"/>
                              <w:rPr>
                                <w:rFonts w:cs="Tahoma"/>
                                <w:color w:val="595959" w:themeColor="text1" w:themeTint="A6"/>
                                <w:sz w:val="70"/>
                                <w:szCs w:val="70"/>
                              </w:rPr>
                            </w:pPr>
                            <w:r w:rsidRPr="005B1C60">
                              <w:rPr>
                                <w:rFonts w:cs="Tahoma"/>
                                <w:color w:val="595959" w:themeColor="text1" w:themeTint="A6"/>
                                <w:sz w:val="70"/>
                                <w:szCs w:val="70"/>
                              </w:rPr>
                              <w:t>FARMÁŘSKÝ DEN</w:t>
                            </w:r>
                          </w:p>
                          <w:p w:rsidR="001875C3" w:rsidRPr="005B1C60" w:rsidRDefault="001875C3" w:rsidP="00CF6E8E">
                            <w:pPr>
                              <w:jc w:val="center"/>
                              <w:rPr>
                                <w:rFonts w:cs="Tahoma"/>
                                <w:sz w:val="44"/>
                                <w:szCs w:val="44"/>
                              </w:rPr>
                            </w:pPr>
                            <w:r w:rsidRPr="005B1C60">
                              <w:rPr>
                                <w:rFonts w:cs="Tahoma"/>
                                <w:sz w:val="44"/>
                                <w:szCs w:val="44"/>
                              </w:rPr>
                              <w:t>Velká Chyška</w:t>
                            </w:r>
                          </w:p>
                          <w:p w:rsidR="001875C3" w:rsidRPr="00F539F5" w:rsidRDefault="001875C3" w:rsidP="00CF6E8E">
                            <w:pPr>
                              <w:jc w:val="center"/>
                              <w:rPr>
                                <w:rFonts w:cs="Tahoma"/>
                                <w:sz w:val="40"/>
                                <w:szCs w:val="40"/>
                              </w:rPr>
                            </w:pPr>
                            <w:r w:rsidRPr="005B1C60">
                              <w:rPr>
                                <w:rFonts w:cs="Tahoma"/>
                                <w:sz w:val="44"/>
                                <w:szCs w:val="44"/>
                              </w:rPr>
                              <w:t xml:space="preserve"> </w:t>
                            </w:r>
                            <w:r w:rsidRPr="00F539F5">
                              <w:rPr>
                                <w:rFonts w:cs="Tahoma"/>
                                <w:sz w:val="40"/>
                                <w:szCs w:val="40"/>
                              </w:rPr>
                              <w:t>2</w:t>
                            </w:r>
                            <w:r>
                              <w:rPr>
                                <w:rFonts w:cs="Tahoma"/>
                                <w:sz w:val="40"/>
                                <w:szCs w:val="40"/>
                              </w:rPr>
                              <w:t>3</w:t>
                            </w:r>
                            <w:r w:rsidRPr="00F539F5">
                              <w:rPr>
                                <w:rFonts w:cs="Tahoma"/>
                                <w:sz w:val="40"/>
                                <w:szCs w:val="40"/>
                              </w:rPr>
                              <w:t>. listopadu 201</w:t>
                            </w:r>
                            <w:r>
                              <w:rPr>
                                <w:rFonts w:cs="Tahoma"/>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28" type="#_x0000_t202" style="position:absolute;left:0;text-align:left;margin-left:62.9pt;margin-top:224.7pt;width:491pt;height:148.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UiQIAAHEFAAAOAAAAZHJzL2Uyb0RvYy54bWysVM1OGzEQvlfqO1i+l00CITRig1IQVSVU&#10;UKHi7HhtsqrX49pOsukb9Tn6Yv3szYaI9kLVy+545pv/n/OLtjFsrXyoyZZ8eDTgTFlJVW2fSv71&#10;4frdGWchClsJQ1aVfKsCv5i9fXO+cVM1oiWZSnkGIzZMN67kyxjdtCiCXKpGhCNyykKoyTci4umf&#10;isqLDaw3phgNBqfFhnzlPEkVArhXnZDPsn2tlYy3WgcVmSk5Yov56/N3kb7F7FxMn7xwy1ruwhD/&#10;EEUjagune1NXIgq28vUfpppaegqk45GkpiCta6lyDshmOHiRzf1SOJVzQXGC25cp/D+z8vP6zrO6&#10;Qu8mnFnRoEcPqo20/vWTOTKKgY8ibVyYAnvvgI7tB2qh0PMDmCn3Vvsm/ZEVgxzl3u5LDJNMgnk6&#10;Oh5PBhBJyIZnZ6PJZJzsFM/qzof4UVHDElFyjx7m0or1TYgdtIckb5aua2NyH41lG7g4Hg+ywl4C&#10;48YmrMoTsTOTUupCz1TcGpUwxn5RGhXJGSRGnkV1aTxbC0yRkFLZmJPPdoFOKI0gXqO4wz9H9Rrl&#10;Lo/eM9m4V25qSz5n/yLs6lsfsu7wqPlB3omM7aLNozDqO7ugaouGe+r2Jjh5XaMpNyLEO+GxKGgk&#10;lj/e4qMNofi0ozhbkv/xN37CY34h5WyDxSt5+L4SXnFmPllM9vvhyUna1Pw4GU9GePhDyeJQYlfN&#10;JaErQ5wZJzOZ8NH0pPbUPOJGzJNXiISV8F3y2JOXsTsHuDFSzecZhN10It7YeyeT6dSkNHIP7aPw&#10;bjeXESP9mfoVFdMX49lhk6al+SqSrvPspjp3Vd3VH3udp393g9LhOHxn1POlnP0GAAD//wMAUEsD&#10;BBQABgAIAAAAIQAXvMOU4wAAAAwBAAAPAAAAZHJzL2Rvd25yZXYueG1sTI/BTsMwEETvSPyDtUjc&#10;qNMooW2IU1WRKiQEh5ZeuG1iN4mI1yF228DXsz3BcXZGM2/z9WR7cTaj7xwpmM8iEIZqpztqFBze&#10;tw9LED4gaewdGQXfxsO6uL3JMdPuQjtz3odGcAn5DBW0IQyZlL5ujUU/c4Mh9o5utBhYjo3UI164&#10;3PYyjqJHabEjXmhxMGVr6s/9ySp4KbdvuKtiu/zpy+fX42b4OnykSt3fTZsnEMFM4S8MV3xGh4KZ&#10;Knci7UXPOk4ZPShIklUC4pqYRws+VQoWSboCWeTy/xPFLwAAAP//AwBQSwECLQAUAAYACAAAACEA&#10;toM4kv4AAADhAQAAEwAAAAAAAAAAAAAAAAAAAAAAW0NvbnRlbnRfVHlwZXNdLnhtbFBLAQItABQA&#10;BgAIAAAAIQA4/SH/1gAAAJQBAAALAAAAAAAAAAAAAAAAAC8BAABfcmVscy8ucmVsc1BLAQItABQA&#10;BgAIAAAAIQCwe+OUiQIAAHEFAAAOAAAAAAAAAAAAAAAAAC4CAABkcnMvZTJvRG9jLnhtbFBLAQIt&#10;ABQABgAIAAAAIQAXvMOU4wAAAAwBAAAPAAAAAAAAAAAAAAAAAOMEAABkcnMvZG93bnJldi54bWxQ&#10;SwUGAAAAAAQABADzAAAA8wUAAAAA&#10;" filled="f" stroked="f" strokeweight=".5pt">
                <v:textbox>
                  <w:txbxContent>
                    <w:p w:rsidR="001875C3" w:rsidRPr="005B1C60" w:rsidRDefault="001875C3" w:rsidP="00CF6E8E">
                      <w:pPr>
                        <w:jc w:val="center"/>
                        <w:rPr>
                          <w:rFonts w:cs="Tahoma"/>
                          <w:color w:val="595959" w:themeColor="text1" w:themeTint="A6"/>
                          <w:sz w:val="70"/>
                          <w:szCs w:val="70"/>
                        </w:rPr>
                      </w:pPr>
                      <w:r w:rsidRPr="005B1C60">
                        <w:rPr>
                          <w:rFonts w:cs="Tahoma"/>
                          <w:color w:val="595959" w:themeColor="text1" w:themeTint="A6"/>
                          <w:sz w:val="70"/>
                          <w:szCs w:val="70"/>
                        </w:rPr>
                        <w:t>FARMÁŘSKÝ DEN</w:t>
                      </w:r>
                    </w:p>
                    <w:p w:rsidR="001875C3" w:rsidRPr="005B1C60" w:rsidRDefault="001875C3" w:rsidP="00CF6E8E">
                      <w:pPr>
                        <w:jc w:val="center"/>
                        <w:rPr>
                          <w:rFonts w:cs="Tahoma"/>
                          <w:sz w:val="44"/>
                          <w:szCs w:val="44"/>
                        </w:rPr>
                      </w:pPr>
                      <w:r w:rsidRPr="005B1C60">
                        <w:rPr>
                          <w:rFonts w:cs="Tahoma"/>
                          <w:sz w:val="44"/>
                          <w:szCs w:val="44"/>
                        </w:rPr>
                        <w:t>Velká Chyška</w:t>
                      </w:r>
                    </w:p>
                    <w:p w:rsidR="001875C3" w:rsidRPr="00F539F5" w:rsidRDefault="001875C3" w:rsidP="00CF6E8E">
                      <w:pPr>
                        <w:jc w:val="center"/>
                        <w:rPr>
                          <w:rFonts w:cs="Tahoma"/>
                          <w:sz w:val="40"/>
                          <w:szCs w:val="40"/>
                        </w:rPr>
                      </w:pPr>
                      <w:r w:rsidRPr="005B1C60">
                        <w:rPr>
                          <w:rFonts w:cs="Tahoma"/>
                          <w:sz w:val="44"/>
                          <w:szCs w:val="44"/>
                        </w:rPr>
                        <w:t xml:space="preserve"> </w:t>
                      </w:r>
                      <w:r w:rsidRPr="00F539F5">
                        <w:rPr>
                          <w:rFonts w:cs="Tahoma"/>
                          <w:sz w:val="40"/>
                          <w:szCs w:val="40"/>
                        </w:rPr>
                        <w:t>2</w:t>
                      </w:r>
                      <w:r>
                        <w:rPr>
                          <w:rFonts w:cs="Tahoma"/>
                          <w:sz w:val="40"/>
                          <w:szCs w:val="40"/>
                        </w:rPr>
                        <w:t>3</w:t>
                      </w:r>
                      <w:r w:rsidRPr="00F539F5">
                        <w:rPr>
                          <w:rFonts w:cs="Tahoma"/>
                          <w:sz w:val="40"/>
                          <w:szCs w:val="40"/>
                        </w:rPr>
                        <w:t>. listopadu 201</w:t>
                      </w:r>
                      <w:r>
                        <w:rPr>
                          <w:rFonts w:cs="Tahoma"/>
                          <w:sz w:val="40"/>
                          <w:szCs w:val="40"/>
                        </w:rPr>
                        <w:t>7</w:t>
                      </w:r>
                    </w:p>
                  </w:txbxContent>
                </v:textbox>
                <w10:wrap anchorx="page" anchory="page"/>
              </v:shape>
            </w:pict>
          </mc:Fallback>
        </mc:AlternateContent>
      </w:r>
      <w:r w:rsidR="00B868A0">
        <w:rPr>
          <w:noProof/>
        </w:rPr>
        <mc:AlternateContent>
          <mc:Choice Requires="wps">
            <w:drawing>
              <wp:anchor distT="0" distB="0" distL="114300" distR="114300" simplePos="0" relativeHeight="251665408" behindDoc="0" locked="0" layoutInCell="1" allowOverlap="1" wp14:anchorId="430A4D84" wp14:editId="7D4CA6C7">
                <wp:simplePos x="0" y="0"/>
                <wp:positionH relativeFrom="column">
                  <wp:posOffset>515620</wp:posOffset>
                </wp:positionH>
                <wp:positionV relativeFrom="page">
                  <wp:posOffset>-32385</wp:posOffset>
                </wp:positionV>
                <wp:extent cx="35560" cy="10666730"/>
                <wp:effectExtent l="0" t="0" r="21590" b="20320"/>
                <wp:wrapNone/>
                <wp:docPr id="12" name="Obdélník 12"/>
                <wp:cNvGraphicFramePr/>
                <a:graphic xmlns:a="http://schemas.openxmlformats.org/drawingml/2006/main">
                  <a:graphicData uri="http://schemas.microsoft.com/office/word/2010/wordprocessingShape">
                    <wps:wsp>
                      <wps:cNvSpPr/>
                      <wps:spPr>
                        <a:xfrm>
                          <a:off x="0" y="0"/>
                          <a:ext cx="35560" cy="106667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26" style="position:absolute;margin-left:40.6pt;margin-top:-2.55pt;width:2.8pt;height:83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9O5ngIAAK8FAAAOAAAAZHJzL2Uyb0RvYy54bWysVM1u2zAMvg/YOwi6r7bTJtuCOkXQosOA&#10;oi3WDj0rshQLk0VNUuJkb7TDnqIvNkr+SdcVOxTLQRFN8iP5ieTp2a7RZCucV2BKWhzllAjDoVJm&#10;XdKv95fvPlDiAzMV02BESffC07PF2zenrZ2LCdSgK+EIghg/b21J6xDsPMs8r0XD/BFYYVApwTUs&#10;oOjWWeVYi+iNziZ5PstacJV1wIX3+PWiU9JFwpdS8HAjpReB6JJibiGdLp2reGaLUzZfO2Zrxfs0&#10;2CuyaJgyGHSEumCBkY1Tf0E1ijvwIMMRhyYDKRUXqQaspsifVXNXMytSLUiOtyNN/v/B8uvtrSOq&#10;wrebUGJYg290s6oef2rz+OsbwY/IUGv9HA3v7K3rJY/XWO5Ouib+YyFkl1jdj6yKXSAcPx5PpzOk&#10;nqOmyGez2fvjRHt28LbOh08CGhIvJXX4aolMtr3yASOi6WASg3nQqrpUWichdoo4145sGb7xal3E&#10;jNHjDyttXuWIMNEziwR0Jadb2GsR8bT5IiSSh0VOUsKpbQ/JMM6FCUWnqlkluhynOf6GLIf0U84J&#10;MCJLrG7E7gEGyw5kwO6K7e2jq0hdPzrn/0qscx49UmQwYXRulAH3EoDGqvrInf1AUkdNZGkF1R5b&#10;y0E3c97yS4XPe8V8uGUOhwx7AhdHuMFDamhLCv2Nkhrcj5e+R3vsfdRS0uLQltR/3zAnKNGfDU7F&#10;x+LkJE55Ek6m7ycouKea1VON2TTngD1T4IqyPF2jfdDDVTpoHnC/LGNUVDHDMXZJeXCDcB66ZYIb&#10;iovlMpnhZFsWrsyd5RE8shrb9373wJztezzgdFzDMOBs/qzVO9voaWC5CSBVmoMDrz3fuBVS4/Qb&#10;LK6dp3KyOuzZxW8AAAD//wMAUEsDBBQABgAIAAAAIQD0MobE3gAAAAkBAAAPAAAAZHJzL2Rvd25y&#10;ZXYueG1sTI/BTsMwEETvSPyDtUhcUOukomka4lQIiSuIwoWbG2/jiHgd2W4a+HqWEz2u5mn2Tb2b&#10;3SAmDLH3pCBfZiCQWm966hR8vD8vShAxaTJ68IQKvjHCrrm+qnVl/JnecNqnTnAJxUorsCmNlZSx&#10;teh0XPoRibOjD04nPkMnTdBnLneDXGVZIZ3uiT9YPeKTxfZrf3IKtj/tayr9uLap/9x2Ln85hulO&#10;qdub+fEBRMI5/cPwp8/q0LDTwZ/IRDEoKPMVkwoW6xwE52XBSw7MFZv7DcimlpcLml8AAAD//wMA&#10;UEsBAi0AFAAGAAgAAAAhALaDOJL+AAAA4QEAABMAAAAAAAAAAAAAAAAAAAAAAFtDb250ZW50X1R5&#10;cGVzXS54bWxQSwECLQAUAAYACAAAACEAOP0h/9YAAACUAQAACwAAAAAAAAAAAAAAAAAvAQAAX3Jl&#10;bHMvLnJlbHNQSwECLQAUAAYACAAAACEAHuPTuZ4CAACvBQAADgAAAAAAAAAAAAAAAAAuAgAAZHJz&#10;L2Uyb0RvYy54bWxQSwECLQAUAAYACAAAACEA9DKGxN4AAAAJAQAADwAAAAAAAAAAAAAAAAD4BAAA&#10;ZHJzL2Rvd25yZXYueG1sUEsFBgAAAAAEAAQA8wAAAAMGAAAAAA==&#10;" fillcolor="white [3212]" strokecolor="white [3212]" strokeweight="2pt">
                <w10:wrap anchory="page"/>
              </v:rect>
            </w:pict>
          </mc:Fallback>
        </mc:AlternateContent>
      </w:r>
      <w:r w:rsidR="00460728">
        <w:rPr>
          <w:noProof/>
        </w:rPr>
        <mc:AlternateContent>
          <mc:Choice Requires="wps">
            <w:drawing>
              <wp:anchor distT="0" distB="0" distL="114300" distR="114300" simplePos="0" relativeHeight="251656191" behindDoc="1" locked="0" layoutInCell="1" allowOverlap="1" wp14:anchorId="00A71ABB" wp14:editId="25B923C5">
                <wp:simplePos x="0" y="0"/>
                <wp:positionH relativeFrom="column">
                  <wp:posOffset>-612140</wp:posOffset>
                </wp:positionH>
                <wp:positionV relativeFrom="page">
                  <wp:posOffset>-30480</wp:posOffset>
                </wp:positionV>
                <wp:extent cx="7560000" cy="10774800"/>
                <wp:effectExtent l="0" t="0" r="3175" b="7620"/>
                <wp:wrapNone/>
                <wp:docPr id="11" name="Obdélník 11"/>
                <wp:cNvGraphicFramePr/>
                <a:graphic xmlns:a="http://schemas.openxmlformats.org/drawingml/2006/main">
                  <a:graphicData uri="http://schemas.microsoft.com/office/word/2010/wordprocessingShape">
                    <wps:wsp>
                      <wps:cNvSpPr/>
                      <wps:spPr>
                        <a:xfrm>
                          <a:off x="0" y="0"/>
                          <a:ext cx="7560000" cy="10774800"/>
                        </a:xfrm>
                        <a:prstGeom prst="rect">
                          <a:avLst/>
                        </a:prstGeom>
                        <a:solidFill>
                          <a:srgbClr val="D6AD84">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26" style="position:absolute;margin-left:-48.2pt;margin-top:-2.4pt;width:595.3pt;height:848.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bdqwIAAKsFAAAOAAAAZHJzL2Uyb0RvYy54bWysVMFu2zAMvQ/YPwi6r3aCtOmCOkXQoMOA&#10;oi2WDj0rshQbk0VNUuJkf7TDvqI/Vkqy3awrdhiWgyOK5CP5RPLict8oshPW1aALOjrJKRGaQ1nr&#10;TUG/Plx/OKfEeaZLpkCLgh6Eo5fz9+8uWjMTY6hAlcISBNFu1pqCVt6bWZY5XomGuRMwQqNSgm2Y&#10;R9FustKyFtEblY3z/CxrwZbGAhfO4e0yKek84kspuL+T0glPVEExNx+/Nn7X4ZvNL9hsY5mpat6l&#10;wf4hi4bVGoMOUEvmGdna+g+opuYWHEh/wqHJQMqai1gDVjPKX1WzqpgRsRYkx5mBJvf/YPnt7t6S&#10;usS3G1GiWYNvdLcun34q/fTrG8FLZKg1boaGK3NvO8nhMZS7l7YJ/1gI2UdWDwOrYu8Jx8vp6VmO&#10;P0o46kb5dDo5RwmBshd/Y53/JKAh4VBQi+8W6WS7G+eTaW8SwjlQdXldKxUFu1lfKUt2DN94ebZY&#10;nk+SrzIVS7fYKUNIl8xj+N9wlA5oGgJuChluslB8Kjee/EGJYKf0FyGROCxwHMPFlhVDIoxzof0o&#10;qSpWipTJ6XEmocmDR8wlAgZkifEH7A6gt0wgPXbKsrMPriJ2/OCc/y2x5Dx4xMig/eDc1BrsWwAK&#10;q+oiJ/uepERNYGkN5QHbykKaN2f4dY0Pe8Ocv2cWBwy7AZeGv8OPVNAWFLoTJRXYH2/dB3vse9RS&#10;0uLAFtR93zIrKFGfNU7Ex9FkEiY8CpPT6RgFe6xZH2v0trkC7BdseswuHoO9V/1RWmgecbcsQlRU&#10;Mc0xdkG5t71w5dMiwe3ExWIRzXCqDfM3emV4AA+shsZ92D8ya7ru9jgZt9APN5u9avJkGzw1LLYe&#10;ZB0n4IXXjm/cCLFxuu0VVs6xHK1eduz8GQAA//8DAFBLAwQUAAYACAAAACEAeW5pJN8AAAAMAQAA&#10;DwAAAGRycy9kb3ducmV2LnhtbEyPwU7DMBBE70j8g7VI3FqbKIpIiFNVFVwQIFE49GgnSxI1Xkex&#10;26R/z/YEtxnt0+xMuVncIM44hd6Thoe1AoFU+6anVsP318vqEUSIhhozeEINFwywqW5vSlM0fqZP&#10;PO9jKziEQmE0dDGOhZSh7tCZsPYjEt9+/ORMZDu1spnMzOFukIlSmXSmJ/7QmRF3HdbH/clpOPSv&#10;9vlA70mrPmZ0dmcv3duk9f3dsn0CEXGJfzBc63N1qLiT9Sdqghg0rPIsZZRFyhOugMrTBIRlleWJ&#10;AlmV8v+I6hcAAP//AwBQSwECLQAUAAYACAAAACEAtoM4kv4AAADhAQAAEwAAAAAAAAAAAAAAAAAA&#10;AAAAW0NvbnRlbnRfVHlwZXNdLnhtbFBLAQItABQABgAIAAAAIQA4/SH/1gAAAJQBAAALAAAAAAAA&#10;AAAAAAAAAC8BAABfcmVscy8ucmVsc1BLAQItABQABgAIAAAAIQAaVSbdqwIAAKsFAAAOAAAAAAAA&#10;AAAAAAAAAC4CAABkcnMvZTJvRG9jLnhtbFBLAQItABQABgAIAAAAIQB5bmkk3wAAAAwBAAAPAAAA&#10;AAAAAAAAAAAAAAUFAABkcnMvZG93bnJldi54bWxQSwUGAAAAAAQABADzAAAAEQYAAAAA&#10;" fillcolor="#d6ad84" stroked="f" strokeweight="2pt">
                <v:fill opacity="13107f"/>
                <w10:wrap anchory="page"/>
              </v:rect>
            </w:pict>
          </mc:Fallback>
        </mc:AlternateContent>
      </w:r>
    </w:p>
    <w:p w:rsidR="00271072" w:rsidRDefault="00271072"/>
    <w:p w:rsidR="00271072" w:rsidRDefault="00271072"/>
    <w:p w:rsidR="00271072" w:rsidRDefault="00271072"/>
    <w:p w:rsidR="00271072" w:rsidRDefault="00271072"/>
    <w:p w:rsidR="00271072" w:rsidRDefault="00271072"/>
    <w:p w:rsidR="00271072" w:rsidRDefault="00271072"/>
    <w:p w:rsidR="00271072" w:rsidRDefault="00271072"/>
    <w:p w:rsidR="00271072" w:rsidRDefault="00271072"/>
    <w:p w:rsidR="00271072" w:rsidRDefault="00271072"/>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C85C1E" w:rsidRDefault="00C85C1E"/>
    <w:p w:rsidR="006200F0" w:rsidRDefault="006200F0"/>
    <w:p w:rsidR="006200F0" w:rsidRDefault="006200F0"/>
    <w:p w:rsidR="00AE77B0" w:rsidRDefault="00AE77B0"/>
    <w:p w:rsidR="00AE77B0" w:rsidRDefault="00AE77B0"/>
    <w:p w:rsidR="00AE77B0" w:rsidRDefault="00AE77B0"/>
    <w:p w:rsidR="00AE77B0" w:rsidRDefault="00AE77B0"/>
    <w:p w:rsidR="00AE77B0" w:rsidRDefault="00AE77B0"/>
    <w:p w:rsidR="007D266F" w:rsidRDefault="007D266F"/>
    <w:p w:rsidR="00271072" w:rsidRPr="00BD0EC6" w:rsidRDefault="00C85C1E" w:rsidP="006200F0">
      <w:pPr>
        <w:spacing w:before="360"/>
      </w:pPr>
      <w:r w:rsidRPr="00BD0EC6">
        <w:t xml:space="preserve">ISBN </w:t>
      </w:r>
      <w:r w:rsidR="00776C22" w:rsidRPr="00776C22">
        <w:t>978-80-7403-183-0</w:t>
      </w:r>
    </w:p>
    <w:p w:rsidR="00F83E4C" w:rsidRPr="00BD0EC6" w:rsidRDefault="00F83E4C">
      <w:pPr>
        <w:sectPr w:rsidR="00F83E4C" w:rsidRPr="00BD0EC6" w:rsidSect="001A30E1">
          <w:pgSz w:w="11906" w:h="16838" w:code="9"/>
          <w:pgMar w:top="1134" w:right="964" w:bottom="1134" w:left="964" w:header="680" w:footer="624" w:gutter="0"/>
          <w:cols w:space="708"/>
          <w:docGrid w:linePitch="360"/>
        </w:sectPr>
      </w:pPr>
    </w:p>
    <w:p w:rsidR="00C959FB" w:rsidRPr="00C5347D" w:rsidRDefault="00C959FB" w:rsidP="00092381">
      <w:pPr>
        <w:pStyle w:val="Nadpis1"/>
        <w:spacing w:before="0"/>
        <w:jc w:val="center"/>
        <w:rPr>
          <w:rFonts w:ascii="Lato Semibold" w:hAnsi="Lato Semibold"/>
        </w:rPr>
      </w:pPr>
      <w:bookmarkStart w:id="0" w:name="_Toc497823114"/>
      <w:bookmarkStart w:id="1" w:name="_Toc497823593"/>
      <w:bookmarkStart w:id="2" w:name="_Toc497823688"/>
      <w:bookmarkStart w:id="3" w:name="_Toc435761757"/>
      <w:bookmarkStart w:id="4" w:name="_Toc435761826"/>
      <w:bookmarkStart w:id="5" w:name="_Toc466954101"/>
      <w:bookmarkStart w:id="6" w:name="_Toc497884726"/>
      <w:r w:rsidRPr="00B53349">
        <w:rPr>
          <w:rFonts w:ascii="Lato Medium" w:hAnsi="Lato Medium"/>
          <w:b/>
          <w:color w:val="0070C0"/>
          <w:sz w:val="50"/>
          <w:szCs w:val="50"/>
        </w:rPr>
        <w:lastRenderedPageBreak/>
        <w:t>VÚŽV</w:t>
      </w:r>
      <w:r w:rsidRPr="00C5347D">
        <w:rPr>
          <w:rFonts w:ascii="Lato Semibold" w:hAnsi="Lato Semibold"/>
        </w:rPr>
        <w:t xml:space="preserve"> </w:t>
      </w:r>
      <w:r w:rsidR="00B53349">
        <w:rPr>
          <w:rFonts w:ascii="Lato Semibold" w:hAnsi="Lato Semibold"/>
        </w:rPr>
        <w:t xml:space="preserve"> </w:t>
      </w:r>
      <w:r w:rsidR="00B53349" w:rsidRPr="00C5347D">
        <w:rPr>
          <w:rFonts w:ascii="Lato Semibold" w:hAnsi="Lato Semibold"/>
          <w:caps w:val="0"/>
        </w:rPr>
        <w:t>v kostce</w:t>
      </w:r>
      <w:bookmarkEnd w:id="0"/>
      <w:bookmarkEnd w:id="1"/>
      <w:bookmarkEnd w:id="2"/>
      <w:bookmarkEnd w:id="6"/>
    </w:p>
    <w:p w:rsidR="00AE77B0" w:rsidRDefault="009F740C" w:rsidP="0064624D">
      <w:pPr>
        <w:jc w:val="center"/>
      </w:pPr>
      <w:r>
        <w:rPr>
          <w:noProof/>
        </w:rPr>
        <w:drawing>
          <wp:anchor distT="0" distB="0" distL="114300" distR="114300" simplePos="0" relativeHeight="251688960" behindDoc="0" locked="0" layoutInCell="1" allowOverlap="1" wp14:anchorId="3BB07206" wp14:editId="7B13230C">
            <wp:simplePos x="0" y="0"/>
            <wp:positionH relativeFrom="column">
              <wp:posOffset>3889072</wp:posOffset>
            </wp:positionH>
            <wp:positionV relativeFrom="paragraph">
              <wp:posOffset>3294132</wp:posOffset>
            </wp:positionV>
            <wp:extent cx="2041451" cy="2116957"/>
            <wp:effectExtent l="95250" t="95250" r="92710" b="93345"/>
            <wp:wrapNone/>
            <wp:docPr id="7186" name="Obrázek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á_kostka_1.gif"/>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041451" cy="211695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77B0">
        <w:rPr>
          <w:noProof/>
        </w:rPr>
        <mc:AlternateContent>
          <mc:Choice Requires="wps">
            <w:drawing>
              <wp:inline distT="0" distB="0" distL="0" distR="0" wp14:anchorId="28347F84" wp14:editId="010CC40C">
                <wp:extent cx="5815211" cy="3381153"/>
                <wp:effectExtent l="0" t="0" r="14605" b="10160"/>
                <wp:docPr id="7178" name="Textové pole 7178"/>
                <wp:cNvGraphicFramePr/>
                <a:graphic xmlns:a="http://schemas.openxmlformats.org/drawingml/2006/main">
                  <a:graphicData uri="http://schemas.microsoft.com/office/word/2010/wordprocessingShape">
                    <wps:wsp>
                      <wps:cNvSpPr txBox="1"/>
                      <wps:spPr>
                        <a:xfrm>
                          <a:off x="0" y="0"/>
                          <a:ext cx="5815211" cy="3381153"/>
                        </a:xfrm>
                        <a:prstGeom prst="rect">
                          <a:avLst/>
                        </a:prstGeom>
                        <a:solidFill>
                          <a:schemeClr val="accent3">
                            <a:lumMod val="20000"/>
                            <a:lumOff val="80000"/>
                          </a:schemeClr>
                        </a:solidFill>
                        <a:ln w="63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Výzkumný ústav živočišné výroby (VÚŽV) v Praze je veřejnou výzkumnou institucí, která je od svého založení v roce 1951, centrem výzkumu biologických a biotechnologických základů chovu hospodářských zvířat.</w:t>
                            </w:r>
                          </w:p>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Ve VÚŽV se provádí základní i aplikovaný výzkum zaměřený na inovace a praktické využití poznatků v chovech hospodářských zvířat v oblastech: genetika a šlechtění zvířat, biotechnologie a reprodukce, výživa, kvalita produktů, etologie a welfare zvířat, technologie chovů, management stád a ekonomika výroby.</w:t>
                            </w:r>
                          </w:p>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Mimo základní a aplikovaný výzkum zajišťuje VÚŽV další odborné činnosti. Jednou z</w:t>
                            </w:r>
                            <w:r>
                              <w:rPr>
                                <w:rFonts w:cs="Tahoma"/>
                                <w:szCs w:val="20"/>
                              </w:rPr>
                              <w:t> </w:t>
                            </w:r>
                            <w:r w:rsidRPr="00776C22">
                              <w:rPr>
                                <w:rFonts w:cs="Tahoma"/>
                                <w:szCs w:val="20"/>
                              </w:rPr>
                              <w:t>nejvýznamnějších aktivit ústavu je realizace Národního programu uchování a využití genetických zdrojů hospodářských zvířat, kde kromě odborné garance, koordinace a</w:t>
                            </w:r>
                            <w:r>
                              <w:rPr>
                                <w:rFonts w:cs="Tahoma"/>
                                <w:szCs w:val="20"/>
                              </w:rPr>
                              <w:t> </w:t>
                            </w:r>
                            <w:r w:rsidRPr="00776C22">
                              <w:rPr>
                                <w:rFonts w:cs="Tahoma"/>
                                <w:szCs w:val="20"/>
                              </w:rPr>
                              <w:t>administrace programu ústav zajišťuje i veškeré související mezinárodní agendy. Vedle toho ústav zajišťuje činnost Vědeckého výboru výživy zvířat a z pověření Ministerstva zemědělství zastupuje Českou republiku v Evropském sdružení pro živočišnou výrobu (EAAP).</w:t>
                            </w:r>
                          </w:p>
                        </w:txbxContent>
                      </wps:txbx>
                      <wps:bodyPr rot="0" spcFirstLastPara="0" vertOverflow="overflow" horzOverflow="overflow" vert="horz" wrap="square" lIns="108000" tIns="45720" rIns="91440" bIns="45720" numCol="1" spcCol="0" rtlCol="0" fromWordArt="0" anchor="ctr" anchorCtr="0" forceAA="0" compatLnSpc="1">
                        <a:prstTxWarp prst="textNoShape">
                          <a:avLst/>
                        </a:prstTxWarp>
                        <a:noAutofit/>
                      </wps:bodyPr>
                    </wps:wsp>
                  </a:graphicData>
                </a:graphic>
              </wp:inline>
            </w:drawing>
          </mc:Choice>
          <mc:Fallback>
            <w:pict>
              <v:shape id="Textové pole 7178" o:spid="_x0000_s1029" type="#_x0000_t202" style="width:457.9pt;height:26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iOxwIAAEYGAAAOAAAAZHJzL2Uyb0RvYy54bWysVN1u0zAUvkfiHSzfsyT92Uq0dCpDQ0hj&#10;m9jQrl3HXiMcH2O7Tcob8Ry8GMdO0nYDJg1xk/j8/3znnNOztlZkI6yrQBc0O0opEZpDWemHgn65&#10;u3gzo8R5pkumQIuCboWjZ/PXr04bk4sRrECVwhJ0ol3emIKuvDd5kji+EjVzR2CERqEEWzOPpH1I&#10;Sssa9F6rZJSmx0kDtjQWuHAOue87IZ1H/1IK7q+ldMITVVDMzcevjd9l+CbzU5Y/WGZWFe/TYP+Q&#10;Rc0qjUF3rt4zz8jaVr+5qituwYH0RxzqBKSsuIg1YDVZ+qSa2xUzItaCzXFm1yb3/9zyq82NJVVZ&#10;0JPsBLHSrEaU7kTrYfPzBzGgBIkSbFRjXI76twYtfPsOWgQ8NDDwHTJD/a20dfhjZQTl2PLtrs3o&#10;lHBkTmfZdJRllHCUjcezLJuOg59kb26s8x8E1CQ8CmoRx9hetrl0vlMdVEI0B6oqLyqlIhFmR5wr&#10;SzYMUWecC+3H0Vyt609QdnycnrTHH9k4JR17NrAxmziFwVPM7VEQpUlT0OPxNI2OH8l2Zs8ncDxE&#10;YvlhApOB/VwCKFM6FCvijPdN2QMRX36rRNBR+rOQiHHE468dilBGv6gdtCT28yWGvf4+q5cYd3UM&#10;kUH7nXFdabBdkx8DW34dUpadPqJ0UHd4+nbZxuGO8xU4Syi3OL4WukvgDL+ocMQumfM3zOLq48Ti&#10;OfPX+JEKEGPoX5SswH7/Ez/o40ailJIGT0lB3bc1s4IS9VHjrmZpGCo8PpGaTE9GSNhIvM0mEySW&#10;hxK9rs8BBxcXBNOLz6Dv1fCUFup7PHuLEBZFTHMMXlDu7UCc++7G4eHkYrGIanhwDPOX+tbw4Dzg&#10;FHborr1n1vSL5nFHr2C4Oyx/sm+dbrDUsFh7kFVcxn1jewjwWMWV6Q9ruIaHdNTan//5LwAAAP//&#10;AwBQSwMEFAAGAAgAAAAhAGYZwIncAAAABQEAAA8AAABkcnMvZG93bnJldi54bWxMj81OwzAQhO9I&#10;fQdrK/WCqNOioDaNU1VVEUegoJ7dePMD8TqynTa8PQsXuIy0mtXMN/l2tJ24oA+tIwWLeQICqXSm&#10;pVrB+9vj3QpEiJqM7hyhgi8MsC0mN7nOjLvSK16OsRYcQiHTCpoY+0zKUDZodZi7Hom9ynmrI5++&#10;lsbrK4fbTi6T5EFa3RI3NLrHfYPl53GwCgZ5sLcHb3enj9VTNdKpKl/ss1Kz6bjbgIg4xr9n+MFn&#10;dCiY6ewGMkF0CnhI/FX21ouUZ5wVpPfLFGSRy//0xTcAAAD//wMAUEsBAi0AFAAGAAgAAAAhALaD&#10;OJL+AAAA4QEAABMAAAAAAAAAAAAAAAAAAAAAAFtDb250ZW50X1R5cGVzXS54bWxQSwECLQAUAAYA&#10;CAAAACEAOP0h/9YAAACUAQAACwAAAAAAAAAAAAAAAAAvAQAAX3JlbHMvLnJlbHNQSwECLQAUAAYA&#10;CAAAACEAsdCojscCAABGBgAADgAAAAAAAAAAAAAAAAAuAgAAZHJzL2Uyb0RvYy54bWxQSwECLQAU&#10;AAYACAAAACEAZhnAidwAAAAFAQAADwAAAAAAAAAAAAAAAAAhBQAAZHJzL2Rvd25yZXYueG1sUEsF&#10;BgAAAAAEAAQA8wAAACoGAAAAAA==&#10;" fillcolor="#eaf1dd [662]" strokecolor="#c2d69b [1942]" strokeweight=".5pt">
                <v:textbox inset="3mm">
                  <w:txbxContent>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Výzkumný ústav živočišné výroby (VÚŽV) v Praze je veřejnou výzkumnou institucí, která je od svého založení v roce 1951, centrem výzkumu biologických a biotechnologických základů chovu hospodářských zvířat.</w:t>
                      </w:r>
                    </w:p>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Ve VÚŽV se provádí základní i aplikovaný výzkum zaměřený na inovace a praktické využití poznatků v chovech hospodářských zvířat v oblastech: genetika a šlechtění zvířat, biotechnologie a reprodukce, výživa, kvalita produktů, etologie a welfare zvířat, technologie chovů, management stád a ekonomika výroby.</w:t>
                      </w:r>
                    </w:p>
                    <w:p w:rsidR="001875C3" w:rsidRPr="00776C22" w:rsidRDefault="001875C3" w:rsidP="00776C22">
                      <w:pPr>
                        <w:numPr>
                          <w:ilvl w:val="0"/>
                          <w:numId w:val="15"/>
                        </w:numPr>
                        <w:spacing w:line="312" w:lineRule="auto"/>
                        <w:ind w:left="426" w:right="453" w:hanging="284"/>
                        <w:rPr>
                          <w:rFonts w:cs="Tahoma"/>
                          <w:szCs w:val="20"/>
                        </w:rPr>
                      </w:pPr>
                      <w:r w:rsidRPr="00776C22">
                        <w:rPr>
                          <w:rFonts w:cs="Tahoma"/>
                          <w:szCs w:val="20"/>
                        </w:rPr>
                        <w:t>Mimo základní a aplikovaný výzkum zajišťuje VÚŽV další odborné činnosti. Jednou z</w:t>
                      </w:r>
                      <w:r>
                        <w:rPr>
                          <w:rFonts w:cs="Tahoma"/>
                          <w:szCs w:val="20"/>
                        </w:rPr>
                        <w:t> </w:t>
                      </w:r>
                      <w:r w:rsidRPr="00776C22">
                        <w:rPr>
                          <w:rFonts w:cs="Tahoma"/>
                          <w:szCs w:val="20"/>
                        </w:rPr>
                        <w:t>nejvýznamnějších aktivit ústavu je realizace Národního programu uchování a využití genetických zdrojů hospodářských zvířat, kde kromě odborné garance, koordinace a</w:t>
                      </w:r>
                      <w:r>
                        <w:rPr>
                          <w:rFonts w:cs="Tahoma"/>
                          <w:szCs w:val="20"/>
                        </w:rPr>
                        <w:t> </w:t>
                      </w:r>
                      <w:r w:rsidRPr="00776C22">
                        <w:rPr>
                          <w:rFonts w:cs="Tahoma"/>
                          <w:szCs w:val="20"/>
                        </w:rPr>
                        <w:t>administrace programu ústav zajišťuje i veškeré související mezinárodní agendy. Vedle toho ústav zajišťuje činnost Vědeckého výboru výživy zvířat a z pověření Ministerstva zemědělství zastupuje Českou republiku v Evropském sdružení pro živočišnou výrobu (EAAP).</w:t>
                      </w:r>
                    </w:p>
                  </w:txbxContent>
                </v:textbox>
                <w10:anchorlock/>
              </v:shape>
            </w:pict>
          </mc:Fallback>
        </mc:AlternateContent>
      </w:r>
    </w:p>
    <w:p w:rsidR="00AE77B0" w:rsidRDefault="00AE77B0" w:rsidP="00C959FB"/>
    <w:p w:rsidR="00B97784" w:rsidRDefault="00B97784" w:rsidP="00C959FB"/>
    <w:p w:rsidR="00B97784" w:rsidRDefault="00B97784" w:rsidP="00C959FB"/>
    <w:p w:rsidR="00B97784" w:rsidRDefault="00B97784" w:rsidP="00C959FB"/>
    <w:p w:rsidR="00AE77B0" w:rsidRPr="00B53349" w:rsidRDefault="00AE77B0" w:rsidP="00C959FB">
      <w:pPr>
        <w:rPr>
          <w:rFonts w:ascii="Lato Medium" w:hAnsi="Lato Medium"/>
          <w:color w:val="0070C0"/>
        </w:rPr>
      </w:pPr>
      <w:r w:rsidRPr="00B53349">
        <w:rPr>
          <w:rFonts w:ascii="Lato Medium" w:hAnsi="Lato Medium"/>
          <w:color w:val="0070C0"/>
          <w:sz w:val="50"/>
          <w:szCs w:val="50"/>
        </w:rPr>
        <w:t>VÚŽV</w:t>
      </w:r>
    </w:p>
    <w:p w:rsidR="00AE77B0" w:rsidRDefault="00C5347D" w:rsidP="00C5347D">
      <w:pPr>
        <w:spacing w:before="0"/>
      </w:pPr>
      <w:r>
        <w:rPr>
          <w:noProof/>
        </w:rPr>
        <mc:AlternateContent>
          <mc:Choice Requires="wps">
            <w:drawing>
              <wp:anchor distT="0" distB="0" distL="114300" distR="114300" simplePos="0" relativeHeight="251687936" behindDoc="0" locked="0" layoutInCell="1" allowOverlap="1" wp14:anchorId="61C9B2B6" wp14:editId="11D9CC5C">
                <wp:simplePos x="0" y="0"/>
                <wp:positionH relativeFrom="column">
                  <wp:posOffset>3182782</wp:posOffset>
                </wp:positionH>
                <wp:positionV relativeFrom="paragraph">
                  <wp:posOffset>4445</wp:posOffset>
                </wp:positionV>
                <wp:extent cx="2742904" cy="637954"/>
                <wp:effectExtent l="0" t="0" r="635" b="0"/>
                <wp:wrapNone/>
                <wp:docPr id="7185" name="Textové pole 7185"/>
                <wp:cNvGraphicFramePr/>
                <a:graphic xmlns:a="http://schemas.openxmlformats.org/drawingml/2006/main">
                  <a:graphicData uri="http://schemas.microsoft.com/office/word/2010/wordprocessingShape">
                    <wps:wsp>
                      <wps:cNvSpPr txBox="1"/>
                      <wps:spPr>
                        <a:xfrm>
                          <a:off x="0" y="0"/>
                          <a:ext cx="2742904" cy="637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75C3" w:rsidRPr="00B53349" w:rsidRDefault="001875C3">
                            <w:pPr>
                              <w:rPr>
                                <w:rFonts w:ascii="Lato Medium" w:hAnsi="Lato Medium"/>
                                <w:color w:val="0070C0"/>
                                <w:sz w:val="50"/>
                                <w:szCs w:val="50"/>
                              </w:rPr>
                            </w:pPr>
                            <w:r w:rsidRPr="00B53349">
                              <w:rPr>
                                <w:rFonts w:ascii="Lato Medium" w:hAnsi="Lato Medium"/>
                                <w:color w:val="0070C0"/>
                                <w:sz w:val="50"/>
                                <w:szCs w:val="50"/>
                              </w:rPr>
                              <w:t>VÚŽV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7185" o:spid="_x0000_s1030" type="#_x0000_t202" style="position:absolute;left:0;text-align:left;margin-left:250.6pt;margin-top:.35pt;width:3in;height:5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dmAIAAJwFAAAOAAAAZHJzL2Uyb0RvYy54bWysVM1OGzEQvlfqO1i+l03ShEDEBqVBVJUQ&#10;oELF2fHaiVXb49pOdtM34jn6Yh17Nz+lXKh62R17vpnxfPNzcdkYTTbCBwW2pP2THiXCcqiUXZb0&#10;2+P1hzNKQmS2YhqsKOlWBHo5ff/uonYTMYAV6Ep4gk5smNSupKsY3aQoAl8Jw8IJOGFRKcEbFvHo&#10;l0XlWY3ejS4Gvd5pUYOvnAcuQsDbq1ZJp9m/lILHOymDiESXFN8W89fn7yJ9i+kFmyw9cyvFu2ew&#10;f3iFYcpi0L2rKxYZWXv1lyujuIcAMp5wMAVIqbjIOWA2/d6LbB5WzImcC5IT3J6m8P/c8tvNvSeq&#10;Kum4fzaixDKDVXoUTYTNr2fiQAuSNUhU7cIE8Q8OLWLzCRoseCIw3Qe8TPk30pv0x8wI6pHy7Z5m&#10;dEo4Xg7Gw8F5b0gJR93px/H5aJjcFAdr50P8LMCQJJTUYxkzu2xzE2IL3UFSsABaVddK63xIrSPm&#10;2pMNw6LrmN+Izv9AaUvqFHzUy44tJPPWs7bJjcjN04U7ZJiluNUiYbT9KiSSlxN9JTbjXNh9/IxO&#10;KImh3mLY4Q+veotxmwda5Mhg497YKAs+Z5+n7UBZ9X1HmWzxWJujvJMYm0WTuyZXLt0soNpiX3ho&#10;Ryw4fq2weDcsxHvmcaawFXBPxDv8SA1IPnQSJSvwP1+7T3hsddRSUuOMljT8WDMvKNFfLA7BeX84&#10;TEOdD8PReIAHf6xZHGvs2swBO6KPG8nxLCZ81DtRejBPuE5mKSqqmOUYu6RxJ85juzlwHXExm2UQ&#10;jrFj8cY+OJ5cJ5ZTaz42T8y7rn8jdv4t7KaZTV60cYtNlhZm6whS5R4/sNrxjysgT0m3rtKOOT5n&#10;1GGpTn8DAAD//wMAUEsDBBQABgAIAAAAIQDVGR0z3wAAAAgBAAAPAAAAZHJzL2Rvd25yZXYueG1s&#10;TI/NTsMwEITvSH0HaytxQdRpo1IIcSqE+JF6o2lB3Nx4m0SN11HsJuHt2Z7gODufZmfS9Wgb0WPn&#10;a0cK5rMIBFLhTE2lgl3+ensPwgdNRjeOUMEPelhnk6tUJ8YN9IH9NpSCQ8gnWkEVQptI6YsKrfYz&#10;1yKxd3Sd1YFlV0rT6YHDbSMXUXQnra6JP1S6xecKi9P2bBV835RfGz++7Yd4Gbcv732++jS5UtfT&#10;8ekRRMAx/MFwqc/VIeNOB3cm40WjYBnNF4wqWIFg+yGOWR6Yu9xllsr/A7JfAAAA//8DAFBLAQIt&#10;ABQABgAIAAAAIQC2gziS/gAAAOEBAAATAAAAAAAAAAAAAAAAAAAAAABbQ29udGVudF9UeXBlc10u&#10;eG1sUEsBAi0AFAAGAAgAAAAhADj9If/WAAAAlAEAAAsAAAAAAAAAAAAAAAAALwEAAF9yZWxzLy5y&#10;ZWxzUEsBAi0AFAAGAAgAAAAhAP+5Up2YAgAAnAUAAA4AAAAAAAAAAAAAAAAALgIAAGRycy9lMm9E&#10;b2MueG1sUEsBAi0AFAAGAAgAAAAhANUZHTPfAAAACAEAAA8AAAAAAAAAAAAAAAAA8gQAAGRycy9k&#10;b3ducmV2LnhtbFBLBQYAAAAABAAEAPMAAAD+BQAAAAA=&#10;" fillcolor="white [3201]" stroked="f" strokeweight=".5pt">
                <v:textbox>
                  <w:txbxContent>
                    <w:p w:rsidR="001875C3" w:rsidRPr="00B53349" w:rsidRDefault="001875C3">
                      <w:pPr>
                        <w:rPr>
                          <w:rFonts w:ascii="Lato Medium" w:hAnsi="Lato Medium"/>
                          <w:color w:val="0070C0"/>
                          <w:sz w:val="50"/>
                          <w:szCs w:val="50"/>
                        </w:rPr>
                      </w:pPr>
                      <w:r w:rsidRPr="00B53349">
                        <w:rPr>
                          <w:rFonts w:ascii="Lato Medium" w:hAnsi="Lato Medium"/>
                          <w:color w:val="0070C0"/>
                          <w:sz w:val="50"/>
                          <w:szCs w:val="50"/>
                        </w:rPr>
                        <w:t>VÚŽV</w:t>
                      </w:r>
                    </w:p>
                  </w:txbxContent>
                </v:textbox>
              </v:shape>
            </w:pict>
          </mc:Fallback>
        </mc:AlternateContent>
      </w:r>
      <w:r w:rsidR="00AE77B0">
        <w:rPr>
          <w:noProof/>
        </w:rPr>
        <mc:AlternateContent>
          <mc:Choice Requires="wps">
            <w:drawing>
              <wp:inline distT="0" distB="0" distL="0" distR="0" wp14:anchorId="6B819500" wp14:editId="653E07F3">
                <wp:extent cx="3040912" cy="2892056"/>
                <wp:effectExtent l="0" t="0" r="26670" b="22860"/>
                <wp:docPr id="7183" name="Textové pole 7183"/>
                <wp:cNvGraphicFramePr/>
                <a:graphic xmlns:a="http://schemas.openxmlformats.org/drawingml/2006/main">
                  <a:graphicData uri="http://schemas.microsoft.com/office/word/2010/wordprocessingShape">
                    <wps:wsp>
                      <wps:cNvSpPr txBox="1"/>
                      <wps:spPr>
                        <a:xfrm>
                          <a:off x="0" y="0"/>
                          <a:ext cx="3040912" cy="2892056"/>
                        </a:xfrm>
                        <a:prstGeom prst="rect">
                          <a:avLst/>
                        </a:prstGeom>
                        <a:solidFill>
                          <a:schemeClr val="bg1">
                            <a:lumMod val="9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N</w:t>
                            </w:r>
                            <w:r w:rsidR="001875C3" w:rsidRPr="00776C22">
                              <w:rPr>
                                <w:rFonts w:cs="Tahoma"/>
                                <w:szCs w:val="20"/>
                              </w:rPr>
                              <w:t>abízí kolaborativní i smluvní výzkum</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P</w:t>
                            </w:r>
                            <w:r w:rsidR="001875C3" w:rsidRPr="00776C22">
                              <w:rPr>
                                <w:rFonts w:cs="Tahoma"/>
                                <w:szCs w:val="20"/>
                              </w:rPr>
                              <w:t>oskytuje poradenství pro praxi</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V</w:t>
                            </w:r>
                            <w:r w:rsidR="001875C3" w:rsidRPr="00776C22">
                              <w:rPr>
                                <w:rFonts w:cs="Tahoma"/>
                                <w:szCs w:val="20"/>
                              </w:rPr>
                              <w:t>zdělává v oblasti živočišné výroby</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Z</w:t>
                            </w:r>
                            <w:r w:rsidR="001875C3" w:rsidRPr="00776C22">
                              <w:rPr>
                                <w:rFonts w:cs="Tahoma"/>
                                <w:szCs w:val="20"/>
                              </w:rPr>
                              <w:t>pracovává analýzy pro chovatele</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V</w:t>
                            </w:r>
                            <w:r w:rsidR="001875C3" w:rsidRPr="00776C22">
                              <w:rPr>
                                <w:rFonts w:cs="Tahoma"/>
                                <w:szCs w:val="20"/>
                              </w:rPr>
                              <w:t>ytváří expertízy a konzultace pro dokumentaci a legislativu MZe</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O</w:t>
                            </w:r>
                            <w:r w:rsidR="001875C3" w:rsidRPr="00776C22">
                              <w:rPr>
                                <w:rFonts w:cs="Tahoma"/>
                                <w:szCs w:val="20"/>
                              </w:rPr>
                              <w:t>rganizuje odborné kurzy a školení</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P</w:t>
                            </w:r>
                            <w:r w:rsidR="001875C3" w:rsidRPr="00776C22">
                              <w:rPr>
                                <w:rFonts w:cs="Tahoma"/>
                                <w:szCs w:val="20"/>
                              </w:rPr>
                              <w:t>ořádá odborné semináře, workshopy a</w:t>
                            </w:r>
                            <w:r w:rsidR="001875C3">
                              <w:rPr>
                                <w:rFonts w:cs="Tahoma"/>
                                <w:szCs w:val="20"/>
                              </w:rPr>
                              <w:t> </w:t>
                            </w:r>
                            <w:r w:rsidR="001875C3" w:rsidRPr="00776C22">
                              <w:rPr>
                                <w:rFonts w:cs="Tahoma"/>
                                <w:szCs w:val="20"/>
                              </w:rPr>
                              <w:t>exkurze</w:t>
                            </w:r>
                            <w:r>
                              <w:rPr>
                                <w:rFonts w:cs="Tahoma"/>
                                <w:szCs w:val="20"/>
                              </w:rPr>
                              <w:t>.</w:t>
                            </w:r>
                          </w:p>
                        </w:txbxContent>
                      </wps:txbx>
                      <wps:bodyPr rot="0" spcFirstLastPara="0" vertOverflow="overflow" horzOverflow="overflow" vert="horz" wrap="square" lIns="108000" tIns="45720" rIns="91440" bIns="45720" numCol="1" spcCol="0" rtlCol="0" fromWordArt="0" anchor="ctr" anchorCtr="0" forceAA="0" compatLnSpc="1">
                        <a:prstTxWarp prst="textNoShape">
                          <a:avLst/>
                        </a:prstTxWarp>
                        <a:noAutofit/>
                      </wps:bodyPr>
                    </wps:wsp>
                  </a:graphicData>
                </a:graphic>
              </wp:inline>
            </w:drawing>
          </mc:Choice>
          <mc:Fallback>
            <w:pict>
              <v:shape id="Textové pole 7183" o:spid="_x0000_s1031" type="#_x0000_t202" style="width:239.45pt;height:2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NevAIAABAGAAAOAAAAZHJzL2Uyb0RvYy54bWysVN1u0zAUvkfiHSzfsyRd27XV0qlsGkIa&#10;28SGdu06dhvh+BjbbVLeiOfgxTh2knYbQ2KIm8TnnO/8/5yeNZUiW2FdCTqn2VFKidAcilKvcvrl&#10;/vLdhBLnmS6YAi1yuhOOns3fvjmtzUwMYA2qEJagEe1mtcnp2nszSxLH16Ji7giM0CiUYCvmkbSr&#10;pLCsRuuVSgZpOk5qsIWxwIVzyL1ohXQe7UspuL+R0glPVE4xNh+/Nn6X4ZvMT9lsZZlZl7wLg/1D&#10;FBUrNTrdm7pgnpGNLX8zVZXcggPpjzhUCUhZchFzwGyy9Fk2d2tmRMwFi+PMvkzu/5nl19tbS8oi&#10;pyfZ5JgSzSrs0r1oPGx//iAGlCBRgoWqjZsh/s6ghm/eQ4MNDwUMfIfMkH8jbRX+mBlBOZZ8ty8z&#10;GiUcmcfpMJ1mA0o4ygaT6SAdjYOd5KBurPMfBFQkPHJqsY+xvGx75XwL7SHBmwNVFpelUpEIsyPO&#10;lSVbhl1frrKoqjbVJyha3nSUprH36DKOWoDHAJ5YUprUOR0fj9Jo4Ylsr/ZnL+O/8YIRKB3CFnFa&#10;u/QOJY0vv1MiYJT+LCR2K1b2hVwZ50L72JRoF9EBJbEyr1Hs8IeoXqPc5tF7Bu33ylWpwbaVfNqi&#10;4msfsmzx2IpHeYenb5ZNHNNRP3FLKHY4iBbanXaGX5Y4LFfM+VtmcYlx9vAw+Rv8SAXYSOhelKzB&#10;fn+JH/C4WyilpMajkFP3bcOsoER91Lh1WToJg0N8pIajkwESNhLTbDhEYvlYojfVOeAIZngDDY/P&#10;gPeqf0oL1QMesEVwiyKmOTrPKfe2J859e63wBHKxWEQYng7D/JW+MzwYD30K23DfPDBrupXxuG3X&#10;0F8QNnu2OS02aGpYbDzIMq5VKHVb2K4FeHbiXnQnMty1x3REHQ75/BcAAAD//wMAUEsDBBQABgAI&#10;AAAAIQAgrJjl2gAAAAUBAAAPAAAAZHJzL2Rvd25yZXYueG1sTI/BTsNADETvSPzDykjc6AbUtCVk&#10;U1VIvSEQaT/AyZokatYbZbdN+vcYLnCxxhpr5jnfzq5XFxpD59nA4yIBRVx723Fj4HjYP2xAhYhs&#10;sfdMBq4UYFvc3uSYWT/xJ13K2CgJ4ZChgTbGIdM61C05DAs/EIv35UeHUdax0XbEScJdr5+SZKUd&#10;diwNLQ702lJ9Ks/OgFt/vL0fyyTdT76q7Ek3V17tjLm/m3cvoCLN8e8YfvAFHQphqvyZbVC9AXkk&#10;/k7xluvNM6hKRJouQRe5/k9ffAMAAP//AwBQSwECLQAUAAYACAAAACEAtoM4kv4AAADhAQAAEwAA&#10;AAAAAAAAAAAAAAAAAAAAW0NvbnRlbnRfVHlwZXNdLnhtbFBLAQItABQABgAIAAAAIQA4/SH/1gAA&#10;AJQBAAALAAAAAAAAAAAAAAAAAC8BAABfcmVscy8ucmVsc1BLAQItABQABgAIAAAAIQBRnlNevAIA&#10;ABAGAAAOAAAAAAAAAAAAAAAAAC4CAABkcnMvZTJvRG9jLnhtbFBLAQItABQABgAIAAAAIQAgrJjl&#10;2gAAAAUBAAAPAAAAAAAAAAAAAAAAABYFAABkcnMvZG93bnJldi54bWxQSwUGAAAAAAQABADzAAAA&#10;HQYAAAAA&#10;" fillcolor="#f2f2f2 [3052]" strokecolor="#a5a5a5 [2092]" strokeweight=".5pt">
                <v:textbox inset="3mm">
                  <w:txbxContent>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N</w:t>
                      </w:r>
                      <w:r w:rsidR="001875C3" w:rsidRPr="00776C22">
                        <w:rPr>
                          <w:rFonts w:cs="Tahoma"/>
                          <w:szCs w:val="20"/>
                        </w:rPr>
                        <w:t>abízí kolaborativní i smluvní výzkum</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P</w:t>
                      </w:r>
                      <w:r w:rsidR="001875C3" w:rsidRPr="00776C22">
                        <w:rPr>
                          <w:rFonts w:cs="Tahoma"/>
                          <w:szCs w:val="20"/>
                        </w:rPr>
                        <w:t>oskytuje poradenství pro praxi</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V</w:t>
                      </w:r>
                      <w:r w:rsidR="001875C3" w:rsidRPr="00776C22">
                        <w:rPr>
                          <w:rFonts w:cs="Tahoma"/>
                          <w:szCs w:val="20"/>
                        </w:rPr>
                        <w:t>zdělává v oblasti živočišné výroby</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Z</w:t>
                      </w:r>
                      <w:r w:rsidR="001875C3" w:rsidRPr="00776C22">
                        <w:rPr>
                          <w:rFonts w:cs="Tahoma"/>
                          <w:szCs w:val="20"/>
                        </w:rPr>
                        <w:t>pracovává analýzy pro chovatele</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V</w:t>
                      </w:r>
                      <w:r w:rsidR="001875C3" w:rsidRPr="00776C22">
                        <w:rPr>
                          <w:rFonts w:cs="Tahoma"/>
                          <w:szCs w:val="20"/>
                        </w:rPr>
                        <w:t>ytváří expertízy a konzultace pro dokumentaci a legislativu MZe</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O</w:t>
                      </w:r>
                      <w:r w:rsidR="001875C3" w:rsidRPr="00776C22">
                        <w:rPr>
                          <w:rFonts w:cs="Tahoma"/>
                          <w:szCs w:val="20"/>
                        </w:rPr>
                        <w:t>rganizuje odborné kurzy a školení</w:t>
                      </w:r>
                      <w:r>
                        <w:rPr>
                          <w:rFonts w:cs="Tahoma"/>
                          <w:szCs w:val="20"/>
                        </w:rPr>
                        <w:t>.</w:t>
                      </w:r>
                    </w:p>
                    <w:p w:rsidR="001875C3" w:rsidRPr="00776C22" w:rsidRDefault="004515E8" w:rsidP="00ED5B36">
                      <w:pPr>
                        <w:numPr>
                          <w:ilvl w:val="0"/>
                          <w:numId w:val="16"/>
                        </w:numPr>
                        <w:spacing w:line="300" w:lineRule="auto"/>
                        <w:ind w:left="426" w:hanging="284"/>
                        <w:jc w:val="left"/>
                        <w:rPr>
                          <w:rFonts w:cs="Tahoma"/>
                          <w:szCs w:val="20"/>
                        </w:rPr>
                      </w:pPr>
                      <w:r>
                        <w:rPr>
                          <w:rFonts w:cs="Tahoma"/>
                          <w:szCs w:val="20"/>
                        </w:rPr>
                        <w:t>P</w:t>
                      </w:r>
                      <w:r w:rsidR="001875C3" w:rsidRPr="00776C22">
                        <w:rPr>
                          <w:rFonts w:cs="Tahoma"/>
                          <w:szCs w:val="20"/>
                        </w:rPr>
                        <w:t>ořádá odborné semináře, workshopy a</w:t>
                      </w:r>
                      <w:r w:rsidR="001875C3">
                        <w:rPr>
                          <w:rFonts w:cs="Tahoma"/>
                          <w:szCs w:val="20"/>
                        </w:rPr>
                        <w:t> </w:t>
                      </w:r>
                      <w:r w:rsidR="001875C3" w:rsidRPr="00776C22">
                        <w:rPr>
                          <w:rFonts w:cs="Tahoma"/>
                          <w:szCs w:val="20"/>
                        </w:rPr>
                        <w:t>exkurze</w:t>
                      </w:r>
                      <w:r>
                        <w:rPr>
                          <w:rFonts w:cs="Tahoma"/>
                          <w:szCs w:val="20"/>
                        </w:rPr>
                        <w:t>.</w:t>
                      </w:r>
                    </w:p>
                  </w:txbxContent>
                </v:textbox>
                <w10:anchorlock/>
              </v:shape>
            </w:pict>
          </mc:Fallback>
        </mc:AlternateContent>
      </w:r>
      <w:r w:rsidR="00AE77B0">
        <w:t xml:space="preserve"> </w:t>
      </w:r>
      <w:r>
        <w:t xml:space="preserve">   </w:t>
      </w:r>
      <w:r w:rsidR="00AE77B0">
        <w:rPr>
          <w:noProof/>
        </w:rPr>
        <mc:AlternateContent>
          <mc:Choice Requires="wps">
            <w:drawing>
              <wp:inline distT="0" distB="0" distL="0" distR="0" wp14:anchorId="17C3E526" wp14:editId="513A9D8C">
                <wp:extent cx="2806996" cy="2246911"/>
                <wp:effectExtent l="0" t="0" r="12700" b="20320"/>
                <wp:docPr id="7179" name="Textové pole 7179"/>
                <wp:cNvGraphicFramePr/>
                <a:graphic xmlns:a="http://schemas.openxmlformats.org/drawingml/2006/main">
                  <a:graphicData uri="http://schemas.microsoft.com/office/word/2010/wordprocessingShape">
                    <wps:wsp>
                      <wps:cNvSpPr txBox="1"/>
                      <wps:spPr>
                        <a:xfrm>
                          <a:off x="0" y="0"/>
                          <a:ext cx="2806996" cy="2246911"/>
                        </a:xfrm>
                        <a:prstGeom prst="rect">
                          <a:avLst/>
                        </a:prstGeom>
                        <a:solidFill>
                          <a:schemeClr val="accent6">
                            <a:lumMod val="20000"/>
                            <a:lumOff val="80000"/>
                          </a:schemeClr>
                        </a:solidFill>
                        <a:ln w="6350">
                          <a:solidFill>
                            <a:srgbClr val="FFCC99"/>
                          </a:solidFill>
                        </a:ln>
                        <a:effectLst/>
                      </wps:spPr>
                      <wps:style>
                        <a:lnRef idx="0">
                          <a:schemeClr val="accent1"/>
                        </a:lnRef>
                        <a:fillRef idx="0">
                          <a:schemeClr val="accent1"/>
                        </a:fillRef>
                        <a:effectRef idx="0">
                          <a:schemeClr val="accent1"/>
                        </a:effectRef>
                        <a:fontRef idx="minor">
                          <a:schemeClr val="dk1"/>
                        </a:fontRef>
                      </wps:style>
                      <wps:txbx>
                        <w:txbxContent>
                          <w:p w:rsidR="001875C3" w:rsidRPr="00776C22" w:rsidRDefault="004515E8" w:rsidP="00ED5B36">
                            <w:pPr>
                              <w:numPr>
                                <w:ilvl w:val="0"/>
                                <w:numId w:val="17"/>
                              </w:numPr>
                              <w:spacing w:line="300" w:lineRule="auto"/>
                              <w:ind w:left="426" w:hanging="284"/>
                              <w:jc w:val="left"/>
                              <w:rPr>
                                <w:rFonts w:cs="Tahoma"/>
                                <w:szCs w:val="20"/>
                              </w:rPr>
                            </w:pPr>
                            <w:r>
                              <w:rPr>
                                <w:rFonts w:cs="Tahoma"/>
                                <w:szCs w:val="20"/>
                              </w:rPr>
                              <w:t>M</w:t>
                            </w:r>
                            <w:r w:rsidR="001875C3" w:rsidRPr="00776C22">
                              <w:rPr>
                                <w:rFonts w:cs="Tahoma"/>
                                <w:szCs w:val="20"/>
                              </w:rPr>
                              <w:t xml:space="preserve">á vlastní komplexní experimentální základu a účelové hospodářství. </w:t>
                            </w:r>
                          </w:p>
                          <w:p w:rsidR="001875C3" w:rsidRPr="00776C22" w:rsidRDefault="001875C3" w:rsidP="00ED5B36">
                            <w:pPr>
                              <w:numPr>
                                <w:ilvl w:val="0"/>
                                <w:numId w:val="17"/>
                              </w:numPr>
                              <w:spacing w:line="300" w:lineRule="auto"/>
                              <w:ind w:left="426" w:hanging="284"/>
                              <w:jc w:val="left"/>
                              <w:rPr>
                                <w:rFonts w:cs="Tahoma"/>
                                <w:szCs w:val="20"/>
                              </w:rPr>
                            </w:pPr>
                            <w:r w:rsidRPr="00776C22">
                              <w:rPr>
                                <w:rFonts w:cs="Tahoma"/>
                                <w:szCs w:val="20"/>
                              </w:rPr>
                              <w:t xml:space="preserve">Obhospodařuje téměř 800 ha zemědělské půdy v Uhříněvsi, Netlukách a Královicích. </w:t>
                            </w:r>
                          </w:p>
                          <w:p w:rsidR="001875C3" w:rsidRPr="00776C22" w:rsidRDefault="001875C3" w:rsidP="00ED5B36">
                            <w:pPr>
                              <w:numPr>
                                <w:ilvl w:val="0"/>
                                <w:numId w:val="17"/>
                              </w:numPr>
                              <w:spacing w:line="300" w:lineRule="auto"/>
                              <w:ind w:left="426" w:hanging="284"/>
                              <w:jc w:val="left"/>
                              <w:rPr>
                                <w:rFonts w:cs="Tahoma"/>
                                <w:szCs w:val="20"/>
                              </w:rPr>
                            </w:pPr>
                            <w:r w:rsidRPr="00776C22">
                              <w:rPr>
                                <w:rFonts w:cs="Tahoma"/>
                                <w:szCs w:val="20"/>
                              </w:rPr>
                              <w:t>Kromě toho využívá detašované pracoviště chovu prasat v Kostelci nad Orlicí.</w:t>
                            </w:r>
                          </w:p>
                        </w:txbxContent>
                      </wps:txbx>
                      <wps:bodyPr rot="0" spcFirstLastPara="0" vertOverflow="overflow" horzOverflow="overflow" vert="horz" wrap="square" lIns="108000" tIns="45720" rIns="91440" bIns="45720" numCol="1" spcCol="0" rtlCol="0" fromWordArt="0" anchor="ctr" anchorCtr="0" forceAA="0" compatLnSpc="1">
                        <a:prstTxWarp prst="textNoShape">
                          <a:avLst/>
                        </a:prstTxWarp>
                        <a:noAutofit/>
                      </wps:bodyPr>
                    </wps:wsp>
                  </a:graphicData>
                </a:graphic>
              </wp:inline>
            </w:drawing>
          </mc:Choice>
          <mc:Fallback>
            <w:pict>
              <v:shape id="Textové pole 7179" o:spid="_x0000_s1032" type="#_x0000_t202" style="width:221pt;height:17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WLyAIAAAgGAAAOAAAAZHJzL2Uyb0RvYy54bWysVN1u0zAUvkfiHSzfsySldEu1dCqdipDG&#10;NrGhXbuO3UY4PsZ2m5Q34jl4MY6dpN0GXAxxk/j8n/Odn/OLtlZkJ6yrQBc0O0kpEZpDWel1Qb/c&#10;L9+cUeI80yVToEVB98LRi9nrV+eNmYoRbECVwhJ0ot20MQXdeG+mSeL4RtTMnYARGoUSbM08knad&#10;lJY16L1WyShNJ0kDtjQWuHAOuZedkM6ifykF9zdSOuGJKijm5uPXxu8qfJPZOZuuLTObivdpsH/I&#10;omaVxqAHV5fMM7K11W+u6opbcCD9CYc6ASkrLmINWE2WPqvmbsOMiLUgOM4cYHL/zy2/3t1aUpUF&#10;Pc1Oc0o0q7FL96L1sPv5gxhQgkQJAtUYN0X9O4MWvn0PLTY8ABj4Dpmh/lbaOvyxMoJyhHx/gBmd&#10;Eo7M0Vk6yfMJJRxlo9F4kmfRT3I0N9b5DwJqEh4FtdjHCC/bXTmPIVF1UAnRHKiqXFZKRSLMjlgo&#10;S3YMu844F9pPorna1p+g7Pg4PWnff2TjlHTss4GNIeIUBk8x4JMgSpOmoJO379Lo+InM2fXqEH65&#10;XCzyPMAUHB7zRErpkK6IU9qXdYQyvvxeiaCj9GchsUsR0b/WOIAYtYOWREReYtjrH7N6iXFXB1rE&#10;yKD9wbiuNNgOpqetKb8OKctOH0F6VHd4+nbVxvGcDJO2gnKPA2ih22Vn+LLCIblizt8yi8uLM4cH&#10;yd/gRyrALkH/omQD9vuf+EEfdwqllDR4DArqvm2ZFZSojxq3LUvDWOD5iNT43ekICRuJPBuPkVg9&#10;luhtvQAcvQxvn+HxGfS9Gp7SQv2Ah2sewqKIaY7BC8q9HYiF764Unj4u5vOohifDMH+l7wwPzgPQ&#10;YQvu2wdmTb8qHrfsGobLwabPNqbTDZYa5lsPsorrFKDugO1bgOcmTmx/GsM9e0xHreMBn/0CAAD/&#10;/wMAUEsDBBQABgAIAAAAIQDBQ/lZ2gAAAAUBAAAPAAAAZHJzL2Rvd25yZXYueG1sTI/BTsMwEETv&#10;SPyDtUjcqNO0RVGIUwECpJ6qtnyAGy9JhL2OYic1f8/CBS4jjWY187baJmfFjGPoPSlYLjIQSI03&#10;PbUK3k+vdwWIEDUZbT2hgi8MsK2vrypdGn+hA87H2AouoVBqBV2MQyllaDp0Oiz8gMTZhx+djmzH&#10;VppRX7jcWZln2b10uide6PSAzx02n8fJKZjfplRs7P7Jp5PPdvuXkC93Qanbm/T4ACJiin/H8IPP&#10;6FAz09lPZIKwCviR+Kucrdc527OC1WZVgKwr+Z++/gYAAP//AwBQSwECLQAUAAYACAAAACEAtoM4&#10;kv4AAADhAQAAEwAAAAAAAAAAAAAAAAAAAAAAW0NvbnRlbnRfVHlwZXNdLnhtbFBLAQItABQABgAI&#10;AAAAIQA4/SH/1gAAAJQBAAALAAAAAAAAAAAAAAAAAC8BAABfcmVscy8ucmVsc1BLAQItABQABgAI&#10;AAAAIQBgrIWLyAIAAAgGAAAOAAAAAAAAAAAAAAAAAC4CAABkcnMvZTJvRG9jLnhtbFBLAQItABQA&#10;BgAIAAAAIQDBQ/lZ2gAAAAUBAAAPAAAAAAAAAAAAAAAAACIFAABkcnMvZG93bnJldi54bWxQSwUG&#10;AAAAAAQABADzAAAAKQYAAAAA&#10;" fillcolor="#fde9d9 [665]" strokecolor="#fc9" strokeweight=".5pt">
                <v:textbox inset="3mm">
                  <w:txbxContent>
                    <w:p w:rsidR="001875C3" w:rsidRPr="00776C22" w:rsidRDefault="004515E8" w:rsidP="00ED5B36">
                      <w:pPr>
                        <w:numPr>
                          <w:ilvl w:val="0"/>
                          <w:numId w:val="17"/>
                        </w:numPr>
                        <w:spacing w:line="300" w:lineRule="auto"/>
                        <w:ind w:left="426" w:hanging="284"/>
                        <w:jc w:val="left"/>
                        <w:rPr>
                          <w:rFonts w:cs="Tahoma"/>
                          <w:szCs w:val="20"/>
                        </w:rPr>
                      </w:pPr>
                      <w:r>
                        <w:rPr>
                          <w:rFonts w:cs="Tahoma"/>
                          <w:szCs w:val="20"/>
                        </w:rPr>
                        <w:t>M</w:t>
                      </w:r>
                      <w:r w:rsidR="001875C3" w:rsidRPr="00776C22">
                        <w:rPr>
                          <w:rFonts w:cs="Tahoma"/>
                          <w:szCs w:val="20"/>
                        </w:rPr>
                        <w:t xml:space="preserve">á vlastní komplexní experimentální základu a účelové hospodářství. </w:t>
                      </w:r>
                    </w:p>
                    <w:p w:rsidR="001875C3" w:rsidRPr="00776C22" w:rsidRDefault="001875C3" w:rsidP="00ED5B36">
                      <w:pPr>
                        <w:numPr>
                          <w:ilvl w:val="0"/>
                          <w:numId w:val="17"/>
                        </w:numPr>
                        <w:spacing w:line="300" w:lineRule="auto"/>
                        <w:ind w:left="426" w:hanging="284"/>
                        <w:jc w:val="left"/>
                        <w:rPr>
                          <w:rFonts w:cs="Tahoma"/>
                          <w:szCs w:val="20"/>
                        </w:rPr>
                      </w:pPr>
                      <w:r w:rsidRPr="00776C22">
                        <w:rPr>
                          <w:rFonts w:cs="Tahoma"/>
                          <w:szCs w:val="20"/>
                        </w:rPr>
                        <w:t xml:space="preserve">Obhospodařuje téměř 800 ha zemědělské půdy v Uhříněvsi, Netlukách a Královicích. </w:t>
                      </w:r>
                    </w:p>
                    <w:p w:rsidR="001875C3" w:rsidRPr="00776C22" w:rsidRDefault="001875C3" w:rsidP="00ED5B36">
                      <w:pPr>
                        <w:numPr>
                          <w:ilvl w:val="0"/>
                          <w:numId w:val="17"/>
                        </w:numPr>
                        <w:spacing w:line="300" w:lineRule="auto"/>
                        <w:ind w:left="426" w:hanging="284"/>
                        <w:jc w:val="left"/>
                        <w:rPr>
                          <w:rFonts w:cs="Tahoma"/>
                          <w:szCs w:val="20"/>
                        </w:rPr>
                      </w:pPr>
                      <w:r w:rsidRPr="00776C22">
                        <w:rPr>
                          <w:rFonts w:cs="Tahoma"/>
                          <w:szCs w:val="20"/>
                        </w:rPr>
                        <w:t>Kromě toho využívá detašované pracoviště chovu prasat v Kostelci nad Orlicí.</w:t>
                      </w:r>
                    </w:p>
                  </w:txbxContent>
                </v:textbox>
                <w10:anchorlock/>
              </v:shape>
            </w:pict>
          </mc:Fallback>
        </mc:AlternateContent>
      </w:r>
    </w:p>
    <w:p w:rsidR="00AE77B0" w:rsidRDefault="00AE77B0" w:rsidP="00C959FB"/>
    <w:p w:rsidR="00C959FB" w:rsidRPr="00C959FB" w:rsidRDefault="00C959FB" w:rsidP="00C959FB"/>
    <w:p w:rsidR="00C959FB" w:rsidRPr="00C959FB" w:rsidRDefault="00C959FB" w:rsidP="00C959FB">
      <w:pPr>
        <w:sectPr w:rsidR="00C959FB" w:rsidRPr="00C959FB" w:rsidSect="001A30E1">
          <w:pgSz w:w="11906" w:h="16838" w:code="9"/>
          <w:pgMar w:top="1134" w:right="964" w:bottom="1134" w:left="964" w:header="680" w:footer="624" w:gutter="0"/>
          <w:cols w:space="708"/>
          <w:docGrid w:linePitch="360"/>
        </w:sectPr>
      </w:pPr>
    </w:p>
    <w:tbl>
      <w:tblPr>
        <w:tblStyle w:val="Svtlstnovnzvraznn1"/>
        <w:tblW w:w="0" w:type="auto"/>
        <w:tblBorders>
          <w:top w:val="none" w:sz="0" w:space="0" w:color="auto"/>
          <w:bottom w:val="none" w:sz="0" w:space="0" w:color="auto"/>
        </w:tblBorders>
        <w:tblLook w:val="04A0" w:firstRow="1" w:lastRow="0" w:firstColumn="1" w:lastColumn="0" w:noHBand="0" w:noVBand="1"/>
      </w:tblPr>
      <w:tblGrid>
        <w:gridCol w:w="7621"/>
        <w:gridCol w:w="2497"/>
      </w:tblGrid>
      <w:tr w:rsidR="00400C5A" w:rsidRPr="001764F6" w:rsidTr="001875C3">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621" w:type="dxa"/>
            <w:tcBorders>
              <w:top w:val="none" w:sz="0" w:space="0" w:color="auto"/>
            </w:tcBorders>
          </w:tcPr>
          <w:p w:rsidR="00400C5A" w:rsidRPr="002C51F8" w:rsidRDefault="00400C5A" w:rsidP="001875C3">
            <w:pPr>
              <w:pStyle w:val="Nadpis2"/>
              <w:spacing w:before="0" w:line="240" w:lineRule="auto"/>
              <w:jc w:val="left"/>
              <w:outlineLvl w:val="1"/>
              <w:rPr>
                <w:rFonts w:eastAsia="Times New Roman" w:cs="Arial"/>
                <w:b w:val="0"/>
                <w:caps/>
                <w:kern w:val="32"/>
                <w:sz w:val="28"/>
                <w:szCs w:val="28"/>
              </w:rPr>
            </w:pPr>
            <w:bookmarkStart w:id="7" w:name="_Toc497823115"/>
            <w:bookmarkStart w:id="8" w:name="_Toc497823594"/>
            <w:bookmarkStart w:id="9" w:name="_Toc497823689"/>
            <w:bookmarkStart w:id="10" w:name="_Toc497884727"/>
            <w:r>
              <w:rPr>
                <w:rFonts w:eastAsia="Times New Roman" w:cs="Arial"/>
                <w:b w:val="0"/>
                <w:caps/>
                <w:kern w:val="32"/>
                <w:sz w:val="28"/>
                <w:szCs w:val="28"/>
              </w:rPr>
              <w:lastRenderedPageBreak/>
              <w:t>OBSAH</w:t>
            </w:r>
            <w:bookmarkEnd w:id="10"/>
          </w:p>
        </w:tc>
        <w:tc>
          <w:tcPr>
            <w:tcW w:w="2497" w:type="dxa"/>
            <w:shd w:val="clear" w:color="auto" w:fill="4F81BD" w:themeFill="accent1"/>
          </w:tcPr>
          <w:p w:rsidR="00400C5A" w:rsidRPr="001764F6" w:rsidRDefault="00400C5A" w:rsidP="001875C3">
            <w:pPr>
              <w:pStyle w:val="Nadpis2"/>
              <w:spacing w:before="0" w:line="240" w:lineRule="auto"/>
              <w:outlineLvl w:val="1"/>
              <w:cnfStyle w:val="100000000000" w:firstRow="1" w:lastRow="0" w:firstColumn="0" w:lastColumn="0" w:oddVBand="0" w:evenVBand="0" w:oddHBand="0" w:evenHBand="0" w:firstRowFirstColumn="0" w:firstRowLastColumn="0" w:lastRowFirstColumn="0" w:lastRowLastColumn="0"/>
              <w:rPr>
                <w:rFonts w:eastAsia="Times New Roman" w:cs="Arial"/>
                <w:caps/>
                <w:kern w:val="32"/>
                <w:sz w:val="28"/>
                <w:szCs w:val="28"/>
              </w:rPr>
            </w:pPr>
          </w:p>
        </w:tc>
      </w:tr>
      <w:bookmarkEnd w:id="7"/>
      <w:bookmarkEnd w:id="8"/>
      <w:bookmarkEnd w:id="9"/>
    </w:tbl>
    <w:p w:rsidR="00092381" w:rsidRDefault="00092381" w:rsidP="00092381"/>
    <w:bookmarkEnd w:id="3"/>
    <w:bookmarkEnd w:id="4"/>
    <w:bookmarkEnd w:id="5"/>
    <w:p w:rsidR="001875C3" w:rsidRPr="001875C3" w:rsidRDefault="00092381" w:rsidP="001875C3">
      <w:pPr>
        <w:pStyle w:val="Obsah1"/>
        <w:tabs>
          <w:tab w:val="right" w:leader="underscore" w:pos="9968"/>
        </w:tabs>
        <w:rPr>
          <w:rFonts w:ascii="Tahoma" w:eastAsiaTheme="minorEastAsia" w:hAnsi="Tahoma" w:cs="Tahoma"/>
          <w:b w:val="0"/>
          <w:i/>
          <w:iCs/>
          <w:noProof/>
          <w:color w:val="auto"/>
          <w:sz w:val="22"/>
          <w:szCs w:val="22"/>
        </w:rPr>
      </w:pPr>
      <w:r w:rsidRPr="001875C3">
        <w:rPr>
          <w:rFonts w:ascii="Tahoma" w:hAnsi="Tahoma" w:cs="Tahoma"/>
          <w:b w:val="0"/>
          <w:i/>
        </w:rPr>
        <w:fldChar w:fldCharType="begin"/>
      </w:r>
      <w:r w:rsidRPr="001875C3">
        <w:rPr>
          <w:rFonts w:ascii="Tahoma" w:hAnsi="Tahoma" w:cs="Tahoma"/>
          <w:b w:val="0"/>
          <w:i/>
        </w:rPr>
        <w:instrText xml:space="preserve"> TOC \o "1-2" \h \z \u </w:instrText>
      </w:r>
      <w:r w:rsidRPr="001875C3">
        <w:rPr>
          <w:rFonts w:ascii="Tahoma" w:hAnsi="Tahoma" w:cs="Tahoma"/>
          <w:b w:val="0"/>
          <w:i/>
        </w:rPr>
        <w:fldChar w:fldCharType="separate"/>
      </w:r>
    </w:p>
    <w:p w:rsidR="001875C3" w:rsidRPr="001875C3" w:rsidRDefault="001875C3" w:rsidP="001875C3">
      <w:pPr>
        <w:pStyle w:val="Obsah2"/>
        <w:tabs>
          <w:tab w:val="right" w:leader="underscore" w:pos="9968"/>
        </w:tabs>
        <w:ind w:left="0"/>
        <w:rPr>
          <w:rFonts w:ascii="Tahoma" w:eastAsiaTheme="minorEastAsia" w:hAnsi="Tahoma" w:cs="Tahoma"/>
          <w:iCs w:val="0"/>
          <w:noProof/>
          <w:color w:val="auto"/>
          <w:sz w:val="22"/>
          <w:szCs w:val="22"/>
        </w:rPr>
      </w:pPr>
      <w:hyperlink w:anchor="_Toc497884728" w:history="1">
        <w:r w:rsidRPr="001875C3">
          <w:rPr>
            <w:rStyle w:val="Hypertextovodkaz"/>
            <w:rFonts w:ascii="Tahoma" w:hAnsi="Tahoma" w:cs="Tahoma"/>
            <w:caps/>
            <w:noProof/>
            <w:kern w:val="32"/>
          </w:rPr>
          <w:t>HOSPODAŘENÍ SE ŽIVINAMI A PÉČE O PŮDNÍ ÚRODNOST</w:t>
        </w:r>
        <w:r w:rsidRPr="001875C3">
          <w:rPr>
            <w:rFonts w:ascii="Tahoma" w:hAnsi="Tahoma" w:cs="Tahoma"/>
            <w:noProof/>
            <w:webHidden/>
            <w:color w:val="7F7F7F" w:themeColor="text1" w:themeTint="80"/>
          </w:rPr>
          <w:tab/>
        </w:r>
        <w:r w:rsidRPr="001875C3">
          <w:rPr>
            <w:rFonts w:ascii="Tahoma" w:hAnsi="Tahoma" w:cs="Tahoma"/>
            <w:noProof/>
            <w:webHidden/>
          </w:rPr>
          <w:fldChar w:fldCharType="begin"/>
        </w:r>
        <w:r w:rsidRPr="001875C3">
          <w:rPr>
            <w:rFonts w:ascii="Tahoma" w:hAnsi="Tahoma" w:cs="Tahoma"/>
            <w:noProof/>
            <w:webHidden/>
          </w:rPr>
          <w:instrText xml:space="preserve"> PAGEREF _Toc497884728 \h </w:instrText>
        </w:r>
        <w:r w:rsidRPr="001875C3">
          <w:rPr>
            <w:rFonts w:ascii="Tahoma" w:hAnsi="Tahoma" w:cs="Tahoma"/>
            <w:noProof/>
            <w:webHidden/>
          </w:rPr>
        </w:r>
        <w:r w:rsidRPr="001875C3">
          <w:rPr>
            <w:rFonts w:ascii="Tahoma" w:hAnsi="Tahoma" w:cs="Tahoma"/>
            <w:noProof/>
            <w:webHidden/>
          </w:rPr>
          <w:fldChar w:fldCharType="separate"/>
        </w:r>
        <w:r w:rsidR="00BA5EE3">
          <w:rPr>
            <w:rFonts w:ascii="Tahoma" w:hAnsi="Tahoma" w:cs="Tahoma"/>
            <w:noProof/>
            <w:webHidden/>
          </w:rPr>
          <w:t>5</w:t>
        </w:r>
        <w:r w:rsidRPr="001875C3">
          <w:rPr>
            <w:rFonts w:ascii="Tahoma" w:hAnsi="Tahoma" w:cs="Tahoma"/>
            <w:noProof/>
            <w:webHidden/>
          </w:rPr>
          <w:fldChar w:fldCharType="end"/>
        </w:r>
      </w:hyperlink>
      <w:r w:rsidRPr="001875C3">
        <w:rPr>
          <w:rStyle w:val="Hypertextovodkaz"/>
          <w:rFonts w:ascii="Tahoma" w:hAnsi="Tahoma" w:cs="Tahoma"/>
          <w:noProof/>
        </w:rPr>
        <w:br/>
      </w:r>
      <w:hyperlink w:anchor="_Toc497884729" w:history="1">
        <w:r w:rsidRPr="001875C3">
          <w:rPr>
            <w:rStyle w:val="Hypertextovodkaz"/>
            <w:rFonts w:ascii="Tahoma" w:hAnsi="Tahoma" w:cs="Tahoma"/>
            <w:noProof/>
          </w:rPr>
          <w:t>Ing. Jan Klír, CSc.</w:t>
        </w:r>
      </w:hyperlink>
      <w:r w:rsidRPr="001875C3">
        <w:rPr>
          <w:rFonts w:ascii="Tahoma" w:eastAsiaTheme="minorEastAsia" w:hAnsi="Tahoma" w:cs="Tahoma"/>
          <w:iCs w:val="0"/>
          <w:noProof/>
          <w:color w:val="auto"/>
          <w:sz w:val="22"/>
          <w:szCs w:val="22"/>
        </w:rPr>
        <w:t xml:space="preserve"> </w:t>
      </w:r>
    </w:p>
    <w:p w:rsidR="001875C3" w:rsidRPr="001875C3" w:rsidRDefault="001875C3" w:rsidP="001875C3">
      <w:pPr>
        <w:pStyle w:val="Obsah2"/>
        <w:tabs>
          <w:tab w:val="right" w:leader="underscore" w:pos="9968"/>
        </w:tabs>
        <w:ind w:left="0"/>
        <w:rPr>
          <w:rFonts w:ascii="Tahoma" w:eastAsiaTheme="minorEastAsia" w:hAnsi="Tahoma" w:cs="Tahoma"/>
          <w:iCs w:val="0"/>
          <w:noProof/>
          <w:color w:val="auto"/>
          <w:sz w:val="22"/>
          <w:szCs w:val="22"/>
        </w:rPr>
      </w:pPr>
      <w:hyperlink w:anchor="_Toc497884730" w:history="1">
        <w:r w:rsidRPr="001875C3">
          <w:rPr>
            <w:rStyle w:val="Hypertextovodkaz"/>
            <w:rFonts w:ascii="Tahoma" w:hAnsi="Tahoma" w:cs="Tahoma"/>
            <w:caps/>
            <w:noProof/>
            <w:kern w:val="32"/>
          </w:rPr>
          <w:t>ZA KOLIK VYRÁBÍ MLÉKO PODNIKY V ČR?</w:t>
        </w:r>
        <w:r w:rsidRPr="001875C3">
          <w:rPr>
            <w:rFonts w:ascii="Tahoma" w:hAnsi="Tahoma" w:cs="Tahoma"/>
            <w:noProof/>
            <w:webHidden/>
            <w:color w:val="7F7F7F" w:themeColor="text1" w:themeTint="80"/>
          </w:rPr>
          <w:tab/>
        </w:r>
        <w:r w:rsidRPr="001875C3">
          <w:rPr>
            <w:rFonts w:ascii="Tahoma" w:hAnsi="Tahoma" w:cs="Tahoma"/>
            <w:noProof/>
            <w:webHidden/>
          </w:rPr>
          <w:fldChar w:fldCharType="begin"/>
        </w:r>
        <w:r w:rsidRPr="001875C3">
          <w:rPr>
            <w:rFonts w:ascii="Tahoma" w:hAnsi="Tahoma" w:cs="Tahoma"/>
            <w:noProof/>
            <w:webHidden/>
          </w:rPr>
          <w:instrText xml:space="preserve"> PAGEREF _Toc497884730 \h </w:instrText>
        </w:r>
        <w:r w:rsidRPr="001875C3">
          <w:rPr>
            <w:rFonts w:ascii="Tahoma" w:hAnsi="Tahoma" w:cs="Tahoma"/>
            <w:noProof/>
            <w:webHidden/>
          </w:rPr>
        </w:r>
        <w:r w:rsidRPr="001875C3">
          <w:rPr>
            <w:rFonts w:ascii="Tahoma" w:hAnsi="Tahoma" w:cs="Tahoma"/>
            <w:noProof/>
            <w:webHidden/>
          </w:rPr>
          <w:fldChar w:fldCharType="separate"/>
        </w:r>
        <w:r w:rsidR="00BA5EE3">
          <w:rPr>
            <w:rFonts w:ascii="Tahoma" w:hAnsi="Tahoma" w:cs="Tahoma"/>
            <w:noProof/>
            <w:webHidden/>
          </w:rPr>
          <w:t>9</w:t>
        </w:r>
        <w:r w:rsidRPr="001875C3">
          <w:rPr>
            <w:rFonts w:ascii="Tahoma" w:hAnsi="Tahoma" w:cs="Tahoma"/>
            <w:noProof/>
            <w:webHidden/>
          </w:rPr>
          <w:fldChar w:fldCharType="end"/>
        </w:r>
      </w:hyperlink>
      <w:r w:rsidRPr="001875C3">
        <w:rPr>
          <w:rStyle w:val="Hypertextovodkaz"/>
          <w:rFonts w:ascii="Tahoma" w:hAnsi="Tahoma" w:cs="Tahoma"/>
          <w:noProof/>
        </w:rPr>
        <w:br/>
      </w:r>
      <w:hyperlink w:anchor="_Toc497884731" w:history="1">
        <w:r w:rsidRPr="001875C3">
          <w:rPr>
            <w:rStyle w:val="Hypertextovodkaz"/>
            <w:rFonts w:ascii="Tahoma" w:hAnsi="Tahoma" w:cs="Tahoma"/>
            <w:noProof/>
          </w:rPr>
          <w:t>Ing. Jan Syrůček, Ph.D.</w:t>
        </w:r>
      </w:hyperlink>
      <w:r w:rsidRPr="001875C3">
        <w:rPr>
          <w:rFonts w:ascii="Tahoma" w:eastAsiaTheme="minorEastAsia" w:hAnsi="Tahoma" w:cs="Tahoma"/>
          <w:iCs w:val="0"/>
          <w:noProof/>
          <w:color w:val="auto"/>
          <w:sz w:val="22"/>
          <w:szCs w:val="22"/>
        </w:rPr>
        <w:t xml:space="preserve"> </w:t>
      </w:r>
    </w:p>
    <w:p w:rsidR="001875C3" w:rsidRPr="001875C3" w:rsidRDefault="001875C3" w:rsidP="001875C3">
      <w:pPr>
        <w:pStyle w:val="Obsah1"/>
        <w:tabs>
          <w:tab w:val="right" w:leader="underscore" w:pos="9968"/>
        </w:tabs>
        <w:rPr>
          <w:rFonts w:ascii="Tahoma" w:eastAsiaTheme="minorEastAsia" w:hAnsi="Tahoma" w:cs="Tahoma"/>
          <w:b w:val="0"/>
          <w:i/>
          <w:iCs/>
          <w:noProof/>
          <w:color w:val="auto"/>
          <w:sz w:val="22"/>
          <w:szCs w:val="22"/>
        </w:rPr>
      </w:pPr>
      <w:hyperlink w:anchor="_Toc497884733" w:history="1">
        <w:r w:rsidRPr="001875C3">
          <w:rPr>
            <w:rStyle w:val="Hypertextovodkaz"/>
            <w:rFonts w:ascii="Tahoma" w:hAnsi="Tahoma" w:cs="Tahoma"/>
            <w:b w:val="0"/>
            <w:i/>
            <w:noProof/>
          </w:rPr>
          <w:t>EKONOMICKÉ UKAZATELE ODCHOVU</w:t>
        </w:r>
      </w:hyperlink>
      <w:r w:rsidRPr="001875C3">
        <w:rPr>
          <w:rStyle w:val="Hypertextovodkaz"/>
          <w:rFonts w:ascii="Tahoma" w:hAnsi="Tahoma" w:cs="Tahoma"/>
          <w:b w:val="0"/>
          <w:i/>
          <w:noProof/>
        </w:rPr>
        <w:t xml:space="preserve"> </w:t>
      </w:r>
      <w:hyperlink w:anchor="_Toc497884734" w:history="1">
        <w:r w:rsidRPr="001875C3">
          <w:rPr>
            <w:rStyle w:val="Hypertextovodkaz"/>
            <w:rFonts w:ascii="Tahoma" w:hAnsi="Tahoma" w:cs="Tahoma"/>
            <w:b w:val="0"/>
            <w:i/>
            <w:noProof/>
          </w:rPr>
          <w:t>A HLAVNÍCH PRODUKČNÍCH NEMOCÍ TELAT</w:t>
        </w:r>
        <w:r w:rsidRPr="001875C3">
          <w:rPr>
            <w:rFonts w:ascii="Tahoma" w:hAnsi="Tahoma" w:cs="Tahoma"/>
            <w:b w:val="0"/>
            <w:i/>
            <w:noProof/>
            <w:webHidden/>
            <w:color w:val="7F7F7F" w:themeColor="text1" w:themeTint="80"/>
          </w:rPr>
          <w:tab/>
        </w:r>
        <w:r w:rsidRPr="001875C3">
          <w:rPr>
            <w:rFonts w:ascii="Tahoma" w:hAnsi="Tahoma" w:cs="Tahoma"/>
            <w:b w:val="0"/>
            <w:i/>
            <w:noProof/>
            <w:webHidden/>
          </w:rPr>
          <w:fldChar w:fldCharType="begin"/>
        </w:r>
        <w:r w:rsidRPr="001875C3">
          <w:rPr>
            <w:rFonts w:ascii="Tahoma" w:hAnsi="Tahoma" w:cs="Tahoma"/>
            <w:b w:val="0"/>
            <w:i/>
            <w:noProof/>
            <w:webHidden/>
          </w:rPr>
          <w:instrText xml:space="preserve"> PAGEREF _Toc497884734 \h </w:instrText>
        </w:r>
        <w:r w:rsidRPr="001875C3">
          <w:rPr>
            <w:rFonts w:ascii="Tahoma" w:hAnsi="Tahoma" w:cs="Tahoma"/>
            <w:b w:val="0"/>
            <w:i/>
            <w:noProof/>
            <w:webHidden/>
          </w:rPr>
        </w:r>
        <w:r w:rsidRPr="001875C3">
          <w:rPr>
            <w:rFonts w:ascii="Tahoma" w:hAnsi="Tahoma" w:cs="Tahoma"/>
            <w:b w:val="0"/>
            <w:i/>
            <w:noProof/>
            <w:webHidden/>
          </w:rPr>
          <w:fldChar w:fldCharType="separate"/>
        </w:r>
        <w:r w:rsidR="00BA5EE3">
          <w:rPr>
            <w:rFonts w:ascii="Tahoma" w:hAnsi="Tahoma" w:cs="Tahoma"/>
            <w:b w:val="0"/>
            <w:i/>
            <w:noProof/>
            <w:webHidden/>
          </w:rPr>
          <w:t>17</w:t>
        </w:r>
        <w:r w:rsidRPr="001875C3">
          <w:rPr>
            <w:rFonts w:ascii="Tahoma" w:hAnsi="Tahoma" w:cs="Tahoma"/>
            <w:b w:val="0"/>
            <w:i/>
            <w:noProof/>
            <w:webHidden/>
          </w:rPr>
          <w:fldChar w:fldCharType="end"/>
        </w:r>
      </w:hyperlink>
      <w:r w:rsidRPr="001875C3">
        <w:rPr>
          <w:rStyle w:val="Hypertextovodkaz"/>
          <w:rFonts w:ascii="Tahoma" w:hAnsi="Tahoma" w:cs="Tahoma"/>
          <w:b w:val="0"/>
          <w:i/>
          <w:noProof/>
        </w:rPr>
        <w:br/>
      </w:r>
      <w:hyperlink w:anchor="_Toc497884735" w:history="1">
        <w:r w:rsidRPr="001875C3">
          <w:rPr>
            <w:rStyle w:val="Hypertextovodkaz"/>
            <w:rFonts w:ascii="Tahoma" w:hAnsi="Tahoma" w:cs="Tahoma"/>
            <w:b w:val="0"/>
            <w:i/>
            <w:noProof/>
          </w:rPr>
          <w:t>Ing. Jindřich Kvapilík, DrSc.</w:t>
        </w:r>
      </w:hyperlink>
      <w:r w:rsidRPr="001875C3">
        <w:rPr>
          <w:rFonts w:ascii="Tahoma" w:eastAsiaTheme="minorEastAsia" w:hAnsi="Tahoma" w:cs="Tahoma"/>
          <w:b w:val="0"/>
          <w:i/>
          <w:iCs/>
          <w:noProof/>
          <w:color w:val="auto"/>
          <w:sz w:val="22"/>
          <w:szCs w:val="22"/>
        </w:rPr>
        <w:t xml:space="preserve"> </w:t>
      </w:r>
    </w:p>
    <w:p w:rsidR="001875C3" w:rsidRPr="001875C3" w:rsidRDefault="001875C3" w:rsidP="001875C3">
      <w:pPr>
        <w:pStyle w:val="Obsah1"/>
        <w:tabs>
          <w:tab w:val="right" w:leader="underscore" w:pos="9968"/>
        </w:tabs>
        <w:rPr>
          <w:rFonts w:ascii="Tahoma" w:eastAsiaTheme="minorEastAsia" w:hAnsi="Tahoma" w:cs="Tahoma"/>
          <w:b w:val="0"/>
          <w:i/>
          <w:iCs/>
          <w:noProof/>
          <w:color w:val="auto"/>
          <w:sz w:val="22"/>
          <w:szCs w:val="22"/>
        </w:rPr>
      </w:pPr>
      <w:hyperlink w:anchor="_Toc497884742" w:history="1">
        <w:r w:rsidRPr="001875C3">
          <w:rPr>
            <w:rStyle w:val="Hypertextovodkaz"/>
            <w:rFonts w:ascii="Tahoma" w:hAnsi="Tahoma" w:cs="Tahoma"/>
            <w:b w:val="0"/>
            <w:i/>
            <w:noProof/>
          </w:rPr>
          <w:t>NOVINKY VE ZDRAVÍ KONČETIN A PAZNEHTŮ DOJNIC</w:t>
        </w:r>
        <w:r w:rsidRPr="001875C3">
          <w:rPr>
            <w:rFonts w:ascii="Tahoma" w:hAnsi="Tahoma" w:cs="Tahoma"/>
            <w:b w:val="0"/>
            <w:i/>
            <w:noProof/>
            <w:webHidden/>
            <w:color w:val="7F7F7F" w:themeColor="text1" w:themeTint="80"/>
          </w:rPr>
          <w:tab/>
        </w:r>
        <w:r w:rsidRPr="001875C3">
          <w:rPr>
            <w:rFonts w:ascii="Tahoma" w:hAnsi="Tahoma" w:cs="Tahoma"/>
            <w:b w:val="0"/>
            <w:i/>
            <w:noProof/>
            <w:webHidden/>
          </w:rPr>
          <w:fldChar w:fldCharType="begin"/>
        </w:r>
        <w:r w:rsidRPr="001875C3">
          <w:rPr>
            <w:rFonts w:ascii="Tahoma" w:hAnsi="Tahoma" w:cs="Tahoma"/>
            <w:b w:val="0"/>
            <w:i/>
            <w:noProof/>
            <w:webHidden/>
          </w:rPr>
          <w:instrText xml:space="preserve"> PAGEREF _Toc497884742 \h </w:instrText>
        </w:r>
        <w:r w:rsidRPr="001875C3">
          <w:rPr>
            <w:rFonts w:ascii="Tahoma" w:hAnsi="Tahoma" w:cs="Tahoma"/>
            <w:b w:val="0"/>
            <w:i/>
            <w:noProof/>
            <w:webHidden/>
          </w:rPr>
        </w:r>
        <w:r w:rsidRPr="001875C3">
          <w:rPr>
            <w:rFonts w:ascii="Tahoma" w:hAnsi="Tahoma" w:cs="Tahoma"/>
            <w:b w:val="0"/>
            <w:i/>
            <w:noProof/>
            <w:webHidden/>
          </w:rPr>
          <w:fldChar w:fldCharType="separate"/>
        </w:r>
        <w:r w:rsidR="00BA5EE3">
          <w:rPr>
            <w:rFonts w:ascii="Tahoma" w:hAnsi="Tahoma" w:cs="Tahoma"/>
            <w:b w:val="0"/>
            <w:i/>
            <w:noProof/>
            <w:webHidden/>
          </w:rPr>
          <w:t>23</w:t>
        </w:r>
        <w:r w:rsidRPr="001875C3">
          <w:rPr>
            <w:rFonts w:ascii="Tahoma" w:hAnsi="Tahoma" w:cs="Tahoma"/>
            <w:b w:val="0"/>
            <w:i/>
            <w:noProof/>
            <w:webHidden/>
          </w:rPr>
          <w:fldChar w:fldCharType="end"/>
        </w:r>
      </w:hyperlink>
      <w:r w:rsidRPr="001875C3">
        <w:rPr>
          <w:rStyle w:val="Hypertextovodkaz"/>
          <w:rFonts w:ascii="Tahoma" w:hAnsi="Tahoma" w:cs="Tahoma"/>
          <w:b w:val="0"/>
          <w:i/>
          <w:noProof/>
        </w:rPr>
        <w:br/>
      </w:r>
      <w:hyperlink w:anchor="_Toc497884743" w:history="1">
        <w:r w:rsidRPr="001875C3">
          <w:rPr>
            <w:rStyle w:val="Hypertextovodkaz"/>
            <w:rFonts w:ascii="Tahoma" w:hAnsi="Tahoma" w:cs="Tahoma"/>
            <w:b w:val="0"/>
            <w:i/>
            <w:noProof/>
          </w:rPr>
          <w:t>MVDr. Soňa Šlosárková, Ph.D.</w:t>
        </w:r>
      </w:hyperlink>
      <w:r w:rsidRPr="001875C3">
        <w:rPr>
          <w:rFonts w:ascii="Tahoma" w:eastAsiaTheme="minorEastAsia" w:hAnsi="Tahoma" w:cs="Tahoma"/>
          <w:b w:val="0"/>
          <w:i/>
          <w:iCs/>
          <w:noProof/>
          <w:color w:val="auto"/>
          <w:sz w:val="22"/>
          <w:szCs w:val="22"/>
        </w:rPr>
        <w:t xml:space="preserve"> </w:t>
      </w:r>
    </w:p>
    <w:p w:rsidR="001875C3" w:rsidRPr="001875C3" w:rsidRDefault="001875C3" w:rsidP="001875C3">
      <w:pPr>
        <w:pStyle w:val="Obsah1"/>
        <w:tabs>
          <w:tab w:val="right" w:leader="underscore" w:pos="9968"/>
        </w:tabs>
        <w:rPr>
          <w:rFonts w:ascii="Tahoma" w:eastAsiaTheme="minorEastAsia" w:hAnsi="Tahoma" w:cs="Tahoma"/>
          <w:b w:val="0"/>
          <w:i/>
          <w:iCs/>
          <w:noProof/>
          <w:color w:val="auto"/>
          <w:sz w:val="22"/>
          <w:szCs w:val="22"/>
        </w:rPr>
      </w:pPr>
      <w:hyperlink w:anchor="_Toc497884744" w:history="1">
        <w:r w:rsidRPr="001875C3">
          <w:rPr>
            <w:rStyle w:val="Hypertextovodkaz"/>
            <w:rFonts w:ascii="Tahoma" w:hAnsi="Tahoma" w:cs="Tahoma"/>
            <w:b w:val="0"/>
            <w:i/>
            <w:noProof/>
          </w:rPr>
          <w:t>JE ŘÍZENÍ OKOLOPORODNÍHO OBDOBÍ DŮLEŽITÉ?</w:t>
        </w:r>
        <w:r w:rsidRPr="001875C3">
          <w:rPr>
            <w:rFonts w:ascii="Tahoma" w:hAnsi="Tahoma" w:cs="Tahoma"/>
            <w:b w:val="0"/>
            <w:i/>
            <w:noProof/>
            <w:webHidden/>
            <w:color w:val="7F7F7F" w:themeColor="text1" w:themeTint="80"/>
          </w:rPr>
          <w:tab/>
        </w:r>
        <w:r w:rsidRPr="001875C3">
          <w:rPr>
            <w:rFonts w:ascii="Tahoma" w:hAnsi="Tahoma" w:cs="Tahoma"/>
            <w:b w:val="0"/>
            <w:i/>
            <w:noProof/>
            <w:webHidden/>
          </w:rPr>
          <w:fldChar w:fldCharType="begin"/>
        </w:r>
        <w:r w:rsidRPr="001875C3">
          <w:rPr>
            <w:rFonts w:ascii="Tahoma" w:hAnsi="Tahoma" w:cs="Tahoma"/>
            <w:b w:val="0"/>
            <w:i/>
            <w:noProof/>
            <w:webHidden/>
          </w:rPr>
          <w:instrText xml:space="preserve"> PAGEREF _Toc497884744 \h </w:instrText>
        </w:r>
        <w:r w:rsidRPr="001875C3">
          <w:rPr>
            <w:rFonts w:ascii="Tahoma" w:hAnsi="Tahoma" w:cs="Tahoma"/>
            <w:b w:val="0"/>
            <w:i/>
            <w:noProof/>
            <w:webHidden/>
          </w:rPr>
        </w:r>
        <w:r w:rsidRPr="001875C3">
          <w:rPr>
            <w:rFonts w:ascii="Tahoma" w:hAnsi="Tahoma" w:cs="Tahoma"/>
            <w:b w:val="0"/>
            <w:i/>
            <w:noProof/>
            <w:webHidden/>
          </w:rPr>
          <w:fldChar w:fldCharType="separate"/>
        </w:r>
        <w:r w:rsidR="00BA5EE3">
          <w:rPr>
            <w:rFonts w:ascii="Tahoma" w:hAnsi="Tahoma" w:cs="Tahoma"/>
            <w:b w:val="0"/>
            <w:i/>
            <w:noProof/>
            <w:webHidden/>
          </w:rPr>
          <w:t>28</w:t>
        </w:r>
        <w:r w:rsidRPr="001875C3">
          <w:rPr>
            <w:rFonts w:ascii="Tahoma" w:hAnsi="Tahoma" w:cs="Tahoma"/>
            <w:b w:val="0"/>
            <w:i/>
            <w:noProof/>
            <w:webHidden/>
          </w:rPr>
          <w:fldChar w:fldCharType="end"/>
        </w:r>
      </w:hyperlink>
      <w:r w:rsidRPr="001875C3">
        <w:rPr>
          <w:rStyle w:val="Hypertextovodkaz"/>
          <w:rFonts w:ascii="Tahoma" w:hAnsi="Tahoma" w:cs="Tahoma"/>
          <w:b w:val="0"/>
          <w:i/>
          <w:noProof/>
        </w:rPr>
        <w:br/>
      </w:r>
      <w:hyperlink w:anchor="_Toc497884745" w:history="1">
        <w:r w:rsidRPr="001875C3">
          <w:rPr>
            <w:rStyle w:val="Hypertextovodkaz"/>
            <w:rFonts w:ascii="Tahoma" w:hAnsi="Tahoma" w:cs="Tahoma"/>
            <w:b w:val="0"/>
            <w:i/>
            <w:noProof/>
          </w:rPr>
          <w:t>doc. Ing. Luděk Stádník, Ph.D.</w:t>
        </w:r>
      </w:hyperlink>
      <w:r w:rsidRPr="001875C3">
        <w:rPr>
          <w:rFonts w:ascii="Tahoma" w:eastAsiaTheme="minorEastAsia" w:hAnsi="Tahoma" w:cs="Tahoma"/>
          <w:b w:val="0"/>
          <w:i/>
          <w:iCs/>
          <w:noProof/>
          <w:color w:val="auto"/>
          <w:sz w:val="22"/>
          <w:szCs w:val="22"/>
        </w:rPr>
        <w:t xml:space="preserve"> </w:t>
      </w:r>
    </w:p>
    <w:p w:rsidR="00B81970" w:rsidRPr="00092381" w:rsidRDefault="00092381" w:rsidP="001875C3">
      <w:pPr>
        <w:tabs>
          <w:tab w:val="left" w:pos="142"/>
        </w:tabs>
        <w:rPr>
          <w:rFonts w:ascii="Lato" w:hAnsi="Lato"/>
          <w:i/>
        </w:rPr>
      </w:pPr>
      <w:r w:rsidRPr="001875C3">
        <w:rPr>
          <w:rFonts w:cs="Tahoma"/>
          <w:i/>
        </w:rPr>
        <w:fldChar w:fldCharType="end"/>
      </w:r>
    </w:p>
    <w:p w:rsidR="00B81970" w:rsidRPr="00092381" w:rsidRDefault="00B81970" w:rsidP="00E163BB">
      <w:pPr>
        <w:rPr>
          <w:rFonts w:ascii="Lato" w:hAnsi="Lato"/>
          <w:i/>
        </w:rPr>
      </w:pPr>
      <w:bookmarkStart w:id="11" w:name="_GoBack"/>
      <w:bookmarkEnd w:id="11"/>
    </w:p>
    <w:p w:rsidR="00C952F8" w:rsidRPr="00092381" w:rsidRDefault="00C952F8">
      <w:pPr>
        <w:rPr>
          <w:rFonts w:ascii="Lato" w:hAnsi="Lato"/>
          <w:i/>
        </w:rPr>
        <w:sectPr w:rsidR="00C952F8" w:rsidRPr="00092381" w:rsidSect="001A30E1">
          <w:pgSz w:w="11906" w:h="16838" w:code="9"/>
          <w:pgMar w:top="1134" w:right="964" w:bottom="1134" w:left="964" w:header="680" w:footer="624" w:gutter="0"/>
          <w:cols w:space="708"/>
          <w:docGrid w:linePitch="360"/>
        </w:sectPr>
      </w:pPr>
    </w:p>
    <w:tbl>
      <w:tblPr>
        <w:tblStyle w:val="Svtlstnovnzvraznn1"/>
        <w:tblW w:w="0" w:type="auto"/>
        <w:tblBorders>
          <w:top w:val="none" w:sz="0" w:space="0" w:color="auto"/>
          <w:bottom w:val="none" w:sz="0" w:space="0" w:color="auto"/>
        </w:tblBorders>
        <w:tblLook w:val="04A0" w:firstRow="1" w:lastRow="0" w:firstColumn="1" w:lastColumn="0" w:noHBand="0" w:noVBand="1"/>
      </w:tblPr>
      <w:tblGrid>
        <w:gridCol w:w="7621"/>
        <w:gridCol w:w="2497"/>
      </w:tblGrid>
      <w:tr w:rsidR="0052089A" w:rsidRPr="001764F6" w:rsidTr="002C51F8">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621" w:type="dxa"/>
            <w:tcBorders>
              <w:top w:val="none" w:sz="0" w:space="0" w:color="auto"/>
            </w:tcBorders>
          </w:tcPr>
          <w:p w:rsidR="0052089A" w:rsidRPr="002C51F8" w:rsidRDefault="0052089A" w:rsidP="0052089A">
            <w:pPr>
              <w:pStyle w:val="Nadpis2"/>
              <w:spacing w:before="0" w:line="240" w:lineRule="auto"/>
              <w:jc w:val="left"/>
              <w:outlineLvl w:val="1"/>
              <w:rPr>
                <w:rFonts w:eastAsia="Times New Roman" w:cs="Arial"/>
                <w:b w:val="0"/>
                <w:caps/>
                <w:kern w:val="32"/>
                <w:sz w:val="28"/>
                <w:szCs w:val="28"/>
              </w:rPr>
            </w:pPr>
            <w:bookmarkStart w:id="12" w:name="_Toc497823116"/>
            <w:bookmarkStart w:id="13" w:name="_Toc497823595"/>
            <w:bookmarkStart w:id="14" w:name="_Toc466954103"/>
            <w:bookmarkStart w:id="15" w:name="_Toc497884728"/>
            <w:r w:rsidRPr="002C51F8">
              <w:rPr>
                <w:rFonts w:eastAsia="Times New Roman" w:cs="Arial"/>
                <w:b w:val="0"/>
                <w:caps/>
                <w:kern w:val="32"/>
                <w:sz w:val="28"/>
                <w:szCs w:val="28"/>
              </w:rPr>
              <w:lastRenderedPageBreak/>
              <w:t>HOSPODAŘENÍ SE ŽIVINAMI A PÉČE O PŮDNÍ ÚRODNOST</w:t>
            </w:r>
            <w:bookmarkEnd w:id="12"/>
            <w:bookmarkEnd w:id="13"/>
            <w:bookmarkEnd w:id="15"/>
          </w:p>
        </w:tc>
        <w:tc>
          <w:tcPr>
            <w:tcW w:w="2497" w:type="dxa"/>
            <w:shd w:val="clear" w:color="auto" w:fill="4F81BD" w:themeFill="accent1"/>
          </w:tcPr>
          <w:p w:rsidR="0052089A" w:rsidRPr="001764F6" w:rsidRDefault="0052089A" w:rsidP="00DD65A2">
            <w:pPr>
              <w:pStyle w:val="Nadpis2"/>
              <w:spacing w:before="0" w:line="240" w:lineRule="auto"/>
              <w:outlineLvl w:val="1"/>
              <w:cnfStyle w:val="100000000000" w:firstRow="1" w:lastRow="0" w:firstColumn="0" w:lastColumn="0" w:oddVBand="0" w:evenVBand="0" w:oddHBand="0" w:evenHBand="0" w:firstRowFirstColumn="0" w:firstRowLastColumn="0" w:lastRowFirstColumn="0" w:lastRowLastColumn="0"/>
              <w:rPr>
                <w:rFonts w:eastAsia="Times New Roman" w:cs="Arial"/>
                <w:caps/>
                <w:kern w:val="32"/>
                <w:sz w:val="28"/>
                <w:szCs w:val="28"/>
              </w:rPr>
            </w:pPr>
          </w:p>
        </w:tc>
      </w:tr>
    </w:tbl>
    <w:p w:rsidR="00C85C01" w:rsidRPr="00515243" w:rsidRDefault="00C85C01" w:rsidP="00C85C01">
      <w:pPr>
        <w:pStyle w:val="Nadpis2"/>
        <w:rPr>
          <w:sz w:val="22"/>
          <w:szCs w:val="22"/>
        </w:rPr>
      </w:pPr>
      <w:bookmarkStart w:id="16" w:name="_Toc497823117"/>
      <w:bookmarkStart w:id="17" w:name="_Toc497823596"/>
      <w:bookmarkStart w:id="18" w:name="_Toc497884729"/>
      <w:bookmarkEnd w:id="14"/>
      <w:r w:rsidRPr="00515243">
        <w:rPr>
          <w:sz w:val="22"/>
          <w:szCs w:val="22"/>
        </w:rPr>
        <w:t>Ing. Jan Klír, CSc.</w:t>
      </w:r>
      <w:bookmarkEnd w:id="16"/>
      <w:bookmarkEnd w:id="17"/>
      <w:bookmarkEnd w:id="18"/>
    </w:p>
    <w:p w:rsidR="00C85C01" w:rsidRPr="000F1259" w:rsidRDefault="00C85C01" w:rsidP="000F1259">
      <w:pPr>
        <w:pStyle w:val="Nadpis3"/>
        <w:rPr>
          <w:szCs w:val="20"/>
        </w:rPr>
      </w:pPr>
      <w:r w:rsidRPr="000F1259">
        <w:rPr>
          <w:szCs w:val="20"/>
        </w:rPr>
        <w:t xml:space="preserve">Výzkumný ústav rostlinné výroby, v.v.i. Praha </w:t>
      </w:r>
      <w:r w:rsidR="003F7148" w:rsidRPr="000F1259">
        <w:rPr>
          <w:szCs w:val="20"/>
        </w:rPr>
        <w:t>Ruzyně</w:t>
      </w:r>
    </w:p>
    <w:p w:rsidR="001446F2" w:rsidRDefault="001446F2" w:rsidP="001446F2">
      <w:pPr>
        <w:spacing w:line="264" w:lineRule="auto"/>
        <w:rPr>
          <w:szCs w:val="20"/>
        </w:rPr>
      </w:pPr>
    </w:p>
    <w:p w:rsidR="00A44DF1" w:rsidRDefault="00A44DF1" w:rsidP="00A44DF1">
      <w:pPr>
        <w:spacing w:before="240" w:line="264" w:lineRule="auto"/>
        <w:rPr>
          <w:szCs w:val="20"/>
        </w:rPr>
      </w:pPr>
      <w:r>
        <w:rPr>
          <w:szCs w:val="20"/>
        </w:rPr>
        <w:t xml:space="preserve"> </w:t>
      </w:r>
      <w:r w:rsidRPr="00A44DF1">
        <w:rPr>
          <w:noProof/>
          <w:szCs w:val="20"/>
        </w:rPr>
        <w:drawing>
          <wp:inline distT="0" distB="0" distL="0" distR="0" wp14:anchorId="12B5EF3D" wp14:editId="68A79F8B">
            <wp:extent cx="3074400" cy="2304000"/>
            <wp:effectExtent l="19050" t="19050" r="12065" b="2032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4400" cy="2304000"/>
                    </a:xfrm>
                    <a:prstGeom prst="rect">
                      <a:avLst/>
                    </a:prstGeom>
                    <a:ln>
                      <a:solidFill>
                        <a:schemeClr val="bg1">
                          <a:lumMod val="65000"/>
                        </a:schemeClr>
                      </a:solidFill>
                    </a:ln>
                  </pic:spPr>
                </pic:pic>
              </a:graphicData>
            </a:graphic>
          </wp:inline>
        </w:drawing>
      </w:r>
      <w:r w:rsidR="00C85C01">
        <w:rPr>
          <w:szCs w:val="20"/>
        </w:rPr>
        <w:t xml:space="preserve">  </w:t>
      </w:r>
      <w:r w:rsidR="00C85C01" w:rsidRPr="00C85C01">
        <w:rPr>
          <w:noProof/>
          <w:szCs w:val="20"/>
        </w:rPr>
        <w:drawing>
          <wp:inline distT="0" distB="0" distL="0" distR="0" wp14:anchorId="01A09408" wp14:editId="085BA60A">
            <wp:extent cx="3074400" cy="2304000"/>
            <wp:effectExtent l="19050" t="19050" r="12065" b="20320"/>
            <wp:docPr id="7188" name="Obrázek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4400" cy="2304000"/>
                    </a:xfrm>
                    <a:prstGeom prst="rect">
                      <a:avLst/>
                    </a:prstGeom>
                    <a:ln>
                      <a:solidFill>
                        <a:schemeClr val="bg1">
                          <a:lumMod val="65000"/>
                        </a:schemeClr>
                      </a:solidFill>
                    </a:ln>
                  </pic:spPr>
                </pic:pic>
              </a:graphicData>
            </a:graphic>
          </wp:inline>
        </w:drawing>
      </w:r>
      <w:r>
        <w:rPr>
          <w:szCs w:val="20"/>
        </w:rPr>
        <w:t xml:space="preserve"> </w:t>
      </w:r>
    </w:p>
    <w:p w:rsidR="00A44DF1" w:rsidRDefault="00C85C01" w:rsidP="00A44DF1">
      <w:pPr>
        <w:spacing w:before="240" w:line="264" w:lineRule="auto"/>
        <w:rPr>
          <w:szCs w:val="20"/>
        </w:rPr>
      </w:pPr>
      <w:r w:rsidRPr="00C85C01">
        <w:rPr>
          <w:noProof/>
          <w:szCs w:val="20"/>
        </w:rPr>
        <w:drawing>
          <wp:inline distT="0" distB="0" distL="0" distR="0" wp14:anchorId="3EFD8AC7" wp14:editId="1FC1BBAA">
            <wp:extent cx="3074400" cy="2304000"/>
            <wp:effectExtent l="19050" t="19050" r="12065" b="20320"/>
            <wp:docPr id="7189" name="Obrázek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74400" cy="2304000"/>
                    </a:xfrm>
                    <a:prstGeom prst="rect">
                      <a:avLst/>
                    </a:prstGeom>
                    <a:ln>
                      <a:solidFill>
                        <a:schemeClr val="bg1">
                          <a:lumMod val="65000"/>
                        </a:schemeClr>
                      </a:solidFill>
                    </a:ln>
                  </pic:spPr>
                </pic:pic>
              </a:graphicData>
            </a:graphic>
          </wp:inline>
        </w:drawing>
      </w:r>
      <w:r>
        <w:rPr>
          <w:szCs w:val="20"/>
        </w:rPr>
        <w:t xml:space="preserve">  </w:t>
      </w:r>
      <w:r w:rsidRPr="00C85C01">
        <w:rPr>
          <w:noProof/>
          <w:szCs w:val="20"/>
        </w:rPr>
        <w:drawing>
          <wp:inline distT="0" distB="0" distL="0" distR="0" wp14:anchorId="66492FF0" wp14:editId="20C0F975">
            <wp:extent cx="3074400" cy="2304000"/>
            <wp:effectExtent l="19050" t="19050" r="12065" b="20320"/>
            <wp:docPr id="7190" name="Obrázek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74400" cy="2304000"/>
                    </a:xfrm>
                    <a:prstGeom prst="rect">
                      <a:avLst/>
                    </a:prstGeom>
                    <a:ln>
                      <a:solidFill>
                        <a:schemeClr val="bg1">
                          <a:lumMod val="65000"/>
                        </a:schemeClr>
                      </a:solidFill>
                    </a:ln>
                  </pic:spPr>
                </pic:pic>
              </a:graphicData>
            </a:graphic>
          </wp:inline>
        </w:drawing>
      </w:r>
      <w:r w:rsidR="00A44DF1">
        <w:rPr>
          <w:szCs w:val="20"/>
        </w:rPr>
        <w:t xml:space="preserve"> </w:t>
      </w:r>
    </w:p>
    <w:p w:rsidR="00C85C01" w:rsidRDefault="00C85C01" w:rsidP="00A44DF1">
      <w:pPr>
        <w:spacing w:before="240" w:line="264" w:lineRule="auto"/>
        <w:rPr>
          <w:szCs w:val="20"/>
        </w:rPr>
      </w:pPr>
      <w:r w:rsidRPr="00C85C01">
        <w:rPr>
          <w:noProof/>
          <w:szCs w:val="20"/>
        </w:rPr>
        <w:drawing>
          <wp:inline distT="0" distB="0" distL="0" distR="0" wp14:anchorId="262ECD3B" wp14:editId="6C840E19">
            <wp:extent cx="3074400" cy="2304000"/>
            <wp:effectExtent l="19050" t="19050" r="12065" b="20320"/>
            <wp:docPr id="7191" name="Obrázek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74400" cy="2304000"/>
                    </a:xfrm>
                    <a:prstGeom prst="rect">
                      <a:avLst/>
                    </a:prstGeom>
                    <a:ln>
                      <a:solidFill>
                        <a:schemeClr val="bg1">
                          <a:lumMod val="65000"/>
                        </a:schemeClr>
                      </a:solidFill>
                    </a:ln>
                  </pic:spPr>
                </pic:pic>
              </a:graphicData>
            </a:graphic>
          </wp:inline>
        </w:drawing>
      </w:r>
      <w:r>
        <w:rPr>
          <w:szCs w:val="20"/>
        </w:rPr>
        <w:t xml:space="preserve">  </w:t>
      </w:r>
      <w:r w:rsidRPr="00C85C01">
        <w:rPr>
          <w:noProof/>
          <w:szCs w:val="20"/>
        </w:rPr>
        <w:drawing>
          <wp:inline distT="0" distB="0" distL="0" distR="0" wp14:anchorId="211DC1BB" wp14:editId="0D9DE4F3">
            <wp:extent cx="3074400" cy="2304000"/>
            <wp:effectExtent l="19050" t="19050" r="12065" b="20320"/>
            <wp:docPr id="7192" name="Obráze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4400" cy="2304000"/>
                    </a:xfrm>
                    <a:prstGeom prst="rect">
                      <a:avLst/>
                    </a:prstGeom>
                    <a:ln>
                      <a:solidFill>
                        <a:schemeClr val="bg1">
                          <a:lumMod val="65000"/>
                        </a:schemeClr>
                      </a:solidFill>
                    </a:ln>
                  </pic:spPr>
                </pic:pic>
              </a:graphicData>
            </a:graphic>
          </wp:inline>
        </w:drawing>
      </w:r>
    </w:p>
    <w:p w:rsidR="004B4B9C" w:rsidRDefault="004B4B9C" w:rsidP="00A44DF1">
      <w:pPr>
        <w:spacing w:before="240" w:line="264" w:lineRule="auto"/>
        <w:rPr>
          <w:szCs w:val="20"/>
        </w:rPr>
        <w:sectPr w:rsidR="004B4B9C" w:rsidSect="001A30E1">
          <w:footerReference w:type="default" r:id="rId20"/>
          <w:pgSz w:w="11906" w:h="16838" w:code="9"/>
          <w:pgMar w:top="1134" w:right="964" w:bottom="1134" w:left="964" w:header="680" w:footer="624" w:gutter="0"/>
          <w:cols w:space="708"/>
          <w:docGrid w:linePitch="360"/>
        </w:sectPr>
      </w:pPr>
    </w:p>
    <w:p w:rsidR="004B4B9C" w:rsidRDefault="004B4B9C" w:rsidP="004B4B9C">
      <w:pPr>
        <w:spacing w:before="0" w:line="192" w:lineRule="auto"/>
        <w:rPr>
          <w:szCs w:val="20"/>
        </w:rPr>
      </w:pPr>
      <w:r w:rsidRPr="004B4B9C">
        <w:rPr>
          <w:noProof/>
          <w:szCs w:val="20"/>
        </w:rPr>
        <w:lastRenderedPageBreak/>
        <w:drawing>
          <wp:inline distT="0" distB="0" distL="0" distR="0" wp14:anchorId="7D64F2B9" wp14:editId="24C0A91B">
            <wp:extent cx="3073400" cy="2190750"/>
            <wp:effectExtent l="19050" t="19050" r="12700" b="19050"/>
            <wp:docPr id="7193" name="Obrázek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655" b="3230"/>
                    <a:stretch/>
                  </pic:blipFill>
                  <pic:spPr bwMode="auto">
                    <a:xfrm>
                      <a:off x="0" y="0"/>
                      <a:ext cx="3074400" cy="2191463"/>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0"/>
        </w:rPr>
        <w:t xml:space="preserve">  </w:t>
      </w:r>
      <w:r>
        <w:rPr>
          <w:noProof/>
          <w:szCs w:val="20"/>
        </w:rPr>
        <w:drawing>
          <wp:inline distT="0" distB="0" distL="0" distR="0" wp14:anchorId="0E243B11" wp14:editId="1EFAAEE1">
            <wp:extent cx="3067050" cy="2184400"/>
            <wp:effectExtent l="19050" t="19050" r="19050" b="25400"/>
            <wp:docPr id="7194" name="Obrázek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655" b="3419"/>
                    <a:stretch/>
                  </pic:blipFill>
                  <pic:spPr bwMode="auto">
                    <a:xfrm>
                      <a:off x="0" y="0"/>
                      <a:ext cx="3070800" cy="2187071"/>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4B9C" w:rsidRDefault="004B4B9C" w:rsidP="004B4B9C">
      <w:pPr>
        <w:spacing w:before="20" w:line="240" w:lineRule="auto"/>
        <w:rPr>
          <w:szCs w:val="20"/>
        </w:rPr>
      </w:pPr>
      <w:r w:rsidRPr="004B4B9C">
        <w:rPr>
          <w:noProof/>
          <w:szCs w:val="20"/>
        </w:rPr>
        <w:drawing>
          <wp:inline distT="0" distB="0" distL="0" distR="0" wp14:anchorId="1213ADF4" wp14:editId="180536AB">
            <wp:extent cx="3073400" cy="2246101"/>
            <wp:effectExtent l="19050" t="19050" r="12700" b="20955"/>
            <wp:docPr id="7195" name="Obrázek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481"/>
                    <a:stretch/>
                  </pic:blipFill>
                  <pic:spPr bwMode="auto">
                    <a:xfrm>
                      <a:off x="0" y="0"/>
                      <a:ext cx="3074400" cy="224683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0"/>
        </w:rPr>
        <w:t xml:space="preserve">  </w:t>
      </w:r>
      <w:r w:rsidRPr="004B4B9C">
        <w:rPr>
          <w:noProof/>
          <w:szCs w:val="20"/>
        </w:rPr>
        <w:drawing>
          <wp:inline distT="0" distB="0" distL="0" distR="0" wp14:anchorId="1B0F0D79" wp14:editId="2B849C25">
            <wp:extent cx="3073400" cy="2246101"/>
            <wp:effectExtent l="19050" t="19050" r="12700" b="20955"/>
            <wp:docPr id="7196" name="Obrázek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481"/>
                    <a:stretch/>
                  </pic:blipFill>
                  <pic:spPr bwMode="auto">
                    <a:xfrm>
                      <a:off x="0" y="0"/>
                      <a:ext cx="3074400" cy="224683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4B9C" w:rsidRDefault="004B4B9C" w:rsidP="004B4B9C">
      <w:pPr>
        <w:spacing w:before="20" w:line="240" w:lineRule="auto"/>
        <w:rPr>
          <w:szCs w:val="20"/>
        </w:rPr>
      </w:pPr>
      <w:r w:rsidRPr="004B4B9C">
        <w:rPr>
          <w:noProof/>
          <w:szCs w:val="20"/>
        </w:rPr>
        <w:drawing>
          <wp:inline distT="0" distB="0" distL="0" distR="0" wp14:anchorId="19671255" wp14:editId="22370705">
            <wp:extent cx="3073400" cy="2246101"/>
            <wp:effectExtent l="19050" t="19050" r="12700" b="20955"/>
            <wp:docPr id="7197" name="Obrázek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481"/>
                    <a:stretch/>
                  </pic:blipFill>
                  <pic:spPr bwMode="auto">
                    <a:xfrm>
                      <a:off x="0" y="0"/>
                      <a:ext cx="3074400" cy="224683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0"/>
        </w:rPr>
        <w:t xml:space="preserve">  </w:t>
      </w:r>
      <w:r w:rsidRPr="004B4B9C">
        <w:rPr>
          <w:noProof/>
          <w:szCs w:val="20"/>
        </w:rPr>
        <w:drawing>
          <wp:inline distT="0" distB="0" distL="0" distR="0" wp14:anchorId="341510E0" wp14:editId="273534D9">
            <wp:extent cx="3073400" cy="2246101"/>
            <wp:effectExtent l="19050" t="19050" r="12700" b="20955"/>
            <wp:docPr id="7198" name="Obrázek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481"/>
                    <a:stretch/>
                  </pic:blipFill>
                  <pic:spPr bwMode="auto">
                    <a:xfrm>
                      <a:off x="0" y="0"/>
                      <a:ext cx="3074400" cy="224683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4B9C" w:rsidRDefault="004B4B9C" w:rsidP="004B4B9C">
      <w:pPr>
        <w:spacing w:before="20" w:line="240" w:lineRule="auto"/>
        <w:rPr>
          <w:szCs w:val="20"/>
        </w:rPr>
      </w:pPr>
      <w:r w:rsidRPr="004B4B9C">
        <w:rPr>
          <w:noProof/>
          <w:szCs w:val="20"/>
        </w:rPr>
        <w:drawing>
          <wp:inline distT="0" distB="0" distL="0" distR="0" wp14:anchorId="3F3929A5" wp14:editId="0EFF7D5B">
            <wp:extent cx="3074400" cy="2304000"/>
            <wp:effectExtent l="19050" t="19050" r="12065" b="2032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4400" cy="2304000"/>
                    </a:xfrm>
                    <a:prstGeom prst="rect">
                      <a:avLst/>
                    </a:prstGeom>
                    <a:ln>
                      <a:solidFill>
                        <a:schemeClr val="bg1">
                          <a:lumMod val="65000"/>
                        </a:schemeClr>
                      </a:solidFill>
                    </a:ln>
                  </pic:spPr>
                </pic:pic>
              </a:graphicData>
            </a:graphic>
          </wp:inline>
        </w:drawing>
      </w:r>
      <w:r>
        <w:rPr>
          <w:szCs w:val="20"/>
        </w:rPr>
        <w:t xml:space="preserve">  </w:t>
      </w:r>
      <w:r w:rsidRPr="004B4B9C">
        <w:rPr>
          <w:noProof/>
          <w:szCs w:val="20"/>
        </w:rPr>
        <w:drawing>
          <wp:inline distT="0" distB="0" distL="0" distR="0" wp14:anchorId="7A78BA70" wp14:editId="0495453D">
            <wp:extent cx="3074400" cy="2304000"/>
            <wp:effectExtent l="19050" t="19050" r="12065" b="2032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74400" cy="2304000"/>
                    </a:xfrm>
                    <a:prstGeom prst="rect">
                      <a:avLst/>
                    </a:prstGeom>
                    <a:ln>
                      <a:solidFill>
                        <a:schemeClr val="bg1">
                          <a:lumMod val="65000"/>
                        </a:schemeClr>
                      </a:solidFill>
                    </a:ln>
                  </pic:spPr>
                </pic:pic>
              </a:graphicData>
            </a:graphic>
          </wp:inline>
        </w:drawing>
      </w:r>
    </w:p>
    <w:p w:rsidR="004B4B9C" w:rsidRDefault="004B4B9C" w:rsidP="004B4B9C">
      <w:pPr>
        <w:spacing w:before="0" w:line="192" w:lineRule="auto"/>
        <w:rPr>
          <w:szCs w:val="20"/>
        </w:rPr>
      </w:pPr>
    </w:p>
    <w:p w:rsidR="004B4B9C" w:rsidRDefault="004B4B9C" w:rsidP="004B4B9C">
      <w:pPr>
        <w:spacing w:before="0" w:line="192" w:lineRule="auto"/>
        <w:rPr>
          <w:szCs w:val="20"/>
        </w:rPr>
      </w:pPr>
      <w:r w:rsidRPr="004B4B9C">
        <w:rPr>
          <w:noProof/>
          <w:szCs w:val="20"/>
        </w:rPr>
        <w:drawing>
          <wp:inline distT="0" distB="0" distL="0" distR="0" wp14:anchorId="6D8DF3DF" wp14:editId="79D1B37C">
            <wp:extent cx="6182436" cy="4636828"/>
            <wp:effectExtent l="19050" t="19050" r="27940" b="11430"/>
            <wp:docPr id="7199" name="Obrázek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89458" cy="4642095"/>
                    </a:xfrm>
                    <a:prstGeom prst="rect">
                      <a:avLst/>
                    </a:prstGeom>
                    <a:ln>
                      <a:solidFill>
                        <a:schemeClr val="bg1">
                          <a:lumMod val="65000"/>
                        </a:schemeClr>
                      </a:solidFill>
                    </a:ln>
                  </pic:spPr>
                </pic:pic>
              </a:graphicData>
            </a:graphic>
          </wp:inline>
        </w:drawing>
      </w:r>
    </w:p>
    <w:p w:rsidR="004B4B9C" w:rsidRDefault="004B4B9C" w:rsidP="004D3D09">
      <w:pPr>
        <w:spacing w:before="20" w:line="240" w:lineRule="auto"/>
        <w:rPr>
          <w:szCs w:val="20"/>
        </w:rPr>
      </w:pPr>
      <w:r w:rsidRPr="004B4B9C">
        <w:rPr>
          <w:noProof/>
          <w:szCs w:val="20"/>
        </w:rPr>
        <w:drawing>
          <wp:inline distT="0" distB="0" distL="0" distR="0" wp14:anchorId="7CDF9773" wp14:editId="28C21D46">
            <wp:extent cx="3039191" cy="2198510"/>
            <wp:effectExtent l="19050" t="19050" r="27940" b="1143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546" r="1112"/>
                    <a:stretch/>
                  </pic:blipFill>
                  <pic:spPr bwMode="auto">
                    <a:xfrm>
                      <a:off x="0" y="0"/>
                      <a:ext cx="3038252" cy="2197831"/>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0"/>
        </w:rPr>
        <w:t xml:space="preserve">  </w:t>
      </w:r>
      <w:r w:rsidRPr="004B4B9C">
        <w:rPr>
          <w:noProof/>
          <w:szCs w:val="20"/>
        </w:rPr>
        <w:drawing>
          <wp:inline distT="0" distB="0" distL="0" distR="0" wp14:anchorId="39E9E211" wp14:editId="5C9285A2">
            <wp:extent cx="3055047" cy="2187262"/>
            <wp:effectExtent l="19050" t="19050" r="12065" b="2286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959" r="517"/>
                    <a:stretch/>
                  </pic:blipFill>
                  <pic:spPr bwMode="auto">
                    <a:xfrm>
                      <a:off x="0" y="0"/>
                      <a:ext cx="3058525" cy="218975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4B9C" w:rsidRDefault="004B4B9C" w:rsidP="000E0EA8">
      <w:pPr>
        <w:spacing w:before="20" w:line="240" w:lineRule="auto"/>
        <w:rPr>
          <w:szCs w:val="20"/>
        </w:rPr>
      </w:pPr>
      <w:r w:rsidRPr="004B4B9C">
        <w:rPr>
          <w:noProof/>
          <w:szCs w:val="20"/>
        </w:rPr>
        <w:drawing>
          <wp:inline distT="0" distB="0" distL="0" distR="0" wp14:anchorId="7C1D816C" wp14:editId="12FB09D1">
            <wp:extent cx="3042000" cy="2170800"/>
            <wp:effectExtent l="19050" t="19050" r="25400" b="2032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4777"/>
                    <a:stretch/>
                  </pic:blipFill>
                  <pic:spPr bwMode="auto">
                    <a:xfrm>
                      <a:off x="0" y="0"/>
                      <a:ext cx="3042000" cy="217080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0"/>
        </w:rPr>
        <w:t xml:space="preserve">  </w:t>
      </w:r>
      <w:r w:rsidRPr="004B4B9C">
        <w:rPr>
          <w:noProof/>
          <w:szCs w:val="20"/>
        </w:rPr>
        <w:drawing>
          <wp:inline distT="0" distB="0" distL="0" distR="0" wp14:anchorId="43B45AE3" wp14:editId="790F86A3">
            <wp:extent cx="3057754" cy="2172615"/>
            <wp:effectExtent l="19050" t="19050" r="9525" b="1841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2229" b="2960"/>
                    <a:stretch/>
                  </pic:blipFill>
                  <pic:spPr bwMode="auto">
                    <a:xfrm>
                      <a:off x="0" y="0"/>
                      <a:ext cx="3074400" cy="2184442"/>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3CD0" w:rsidRDefault="00953CD0" w:rsidP="00A44DF1">
      <w:pPr>
        <w:spacing w:line="264" w:lineRule="auto"/>
        <w:jc w:val="center"/>
        <w:rPr>
          <w:szCs w:val="20"/>
        </w:rPr>
      </w:pPr>
      <w:r>
        <w:rPr>
          <w:szCs w:val="20"/>
        </w:rPr>
        <w:object w:dxaOrig="7200"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5pt;height:309.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PowerPoint.Slide.12" ShapeID="_x0000_i1025" DrawAspect="Content" ObjectID="_1571663457" r:id="rId35"/>
        </w:object>
      </w:r>
    </w:p>
    <w:p w:rsidR="004B4B9C" w:rsidRDefault="004B4B9C" w:rsidP="00A44DF1">
      <w:pPr>
        <w:spacing w:line="264" w:lineRule="auto"/>
        <w:jc w:val="center"/>
        <w:rPr>
          <w:szCs w:val="20"/>
        </w:rPr>
      </w:pPr>
      <w:r w:rsidRPr="004B4B9C">
        <w:rPr>
          <w:noProof/>
          <w:szCs w:val="20"/>
        </w:rPr>
        <w:drawing>
          <wp:inline distT="0" distB="0" distL="0" distR="0" wp14:anchorId="63AD02B0" wp14:editId="7F4D144B">
            <wp:extent cx="5261908" cy="3943350"/>
            <wp:effectExtent l="19050" t="19050" r="15240" b="1905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59511" cy="3941554"/>
                    </a:xfrm>
                    <a:prstGeom prst="rect">
                      <a:avLst/>
                    </a:prstGeom>
                    <a:ln>
                      <a:solidFill>
                        <a:schemeClr val="bg1">
                          <a:lumMod val="65000"/>
                        </a:schemeClr>
                      </a:solidFill>
                    </a:ln>
                  </pic:spPr>
                </pic:pic>
              </a:graphicData>
            </a:graphic>
          </wp:inline>
        </w:drawing>
      </w:r>
    </w:p>
    <w:p w:rsidR="00953CD0" w:rsidRDefault="00953CD0" w:rsidP="00C650CA">
      <w:pPr>
        <w:spacing w:line="264" w:lineRule="auto"/>
        <w:rPr>
          <w:szCs w:val="20"/>
        </w:rPr>
      </w:pPr>
    </w:p>
    <w:p w:rsidR="00C650CA" w:rsidRPr="00656E78" w:rsidRDefault="00C650CA" w:rsidP="00C650CA">
      <w:pPr>
        <w:spacing w:line="264" w:lineRule="auto"/>
        <w:rPr>
          <w:szCs w:val="20"/>
        </w:rPr>
      </w:pPr>
      <w:r w:rsidRPr="009E2914">
        <w:rPr>
          <w:szCs w:val="20"/>
        </w:rPr>
        <w:t xml:space="preserve"> </w:t>
      </w:r>
    </w:p>
    <w:p w:rsidR="00A44DF1" w:rsidRDefault="00A44DF1" w:rsidP="00C650CA">
      <w:r w:rsidRPr="00A44DF1">
        <w:t>Ing. Jan Klír, CSc.</w:t>
      </w:r>
    </w:p>
    <w:p w:rsidR="00A44DF1" w:rsidRDefault="00A44DF1" w:rsidP="00A44DF1">
      <w:pPr>
        <w:spacing w:before="0"/>
      </w:pPr>
      <w:r w:rsidRPr="00A44DF1">
        <w:t xml:space="preserve">Výzkumný ústav rostlinné výroby, v.v.i. Praha </w:t>
      </w:r>
      <w:r w:rsidR="00B51409">
        <w:t>Ruzyně</w:t>
      </w:r>
    </w:p>
    <w:p w:rsidR="00C650CA" w:rsidRDefault="00A44DF1" w:rsidP="00A44DF1">
      <w:pPr>
        <w:spacing w:before="0"/>
        <w:jc w:val="left"/>
        <w:sectPr w:rsidR="00C650CA" w:rsidSect="001A30E1">
          <w:pgSz w:w="11906" w:h="16838" w:code="9"/>
          <w:pgMar w:top="1134" w:right="964" w:bottom="1134" w:left="964" w:header="680" w:footer="624" w:gutter="0"/>
          <w:cols w:space="708"/>
          <w:docGrid w:linePitch="360"/>
        </w:sectPr>
      </w:pPr>
      <w:r w:rsidRPr="00A44DF1">
        <w:t>tel. 603</w:t>
      </w:r>
      <w:r>
        <w:t xml:space="preserve"> </w:t>
      </w:r>
      <w:r w:rsidRPr="00A44DF1">
        <w:t>520</w:t>
      </w:r>
      <w:r>
        <w:t> </w:t>
      </w:r>
      <w:r w:rsidRPr="00A44DF1">
        <w:t>684</w:t>
      </w:r>
      <w:r>
        <w:t xml:space="preserve">; </w:t>
      </w:r>
      <w:hyperlink r:id="rId37" w:history="1">
        <w:r w:rsidRPr="006419D9">
          <w:t>klir@vurv.cz</w:t>
        </w:r>
      </w:hyperlink>
      <w:r>
        <w:t xml:space="preserve">; </w:t>
      </w:r>
      <w:r w:rsidRPr="00A44DF1">
        <w:t xml:space="preserve">www.vurv.cz, </w:t>
      </w:r>
      <w:r>
        <w:t xml:space="preserve"> </w:t>
      </w:r>
      <w:r w:rsidRPr="00A44DF1">
        <w:t>www.nitrat.cz</w:t>
      </w:r>
    </w:p>
    <w:tbl>
      <w:tblPr>
        <w:tblStyle w:val="Svtlstnovnzvraznn1"/>
        <w:tblW w:w="0" w:type="auto"/>
        <w:tblBorders>
          <w:top w:val="none" w:sz="0" w:space="0" w:color="auto"/>
        </w:tblBorders>
        <w:tblLook w:val="04A0" w:firstRow="1" w:lastRow="0" w:firstColumn="1" w:lastColumn="0" w:noHBand="0" w:noVBand="1"/>
      </w:tblPr>
      <w:tblGrid>
        <w:gridCol w:w="6771"/>
        <w:gridCol w:w="3347"/>
      </w:tblGrid>
      <w:tr w:rsidR="001764F6" w:rsidRPr="001764F6" w:rsidTr="0032223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771" w:type="dxa"/>
            <w:tcBorders>
              <w:top w:val="none" w:sz="0" w:space="0" w:color="auto"/>
              <w:left w:val="none" w:sz="0" w:space="0" w:color="auto"/>
              <w:bottom w:val="none" w:sz="0" w:space="0" w:color="auto"/>
              <w:right w:val="none" w:sz="0" w:space="0" w:color="auto"/>
            </w:tcBorders>
          </w:tcPr>
          <w:p w:rsidR="001764F6" w:rsidRPr="00C036D4" w:rsidRDefault="001764F6" w:rsidP="001764F6">
            <w:pPr>
              <w:pStyle w:val="Nadpis2"/>
              <w:spacing w:before="0" w:line="240" w:lineRule="auto"/>
              <w:outlineLvl w:val="1"/>
              <w:rPr>
                <w:rFonts w:eastAsia="Times New Roman" w:cs="Arial"/>
                <w:b w:val="0"/>
                <w:caps/>
                <w:kern w:val="32"/>
                <w:sz w:val="28"/>
                <w:szCs w:val="28"/>
              </w:rPr>
            </w:pPr>
            <w:bookmarkStart w:id="19" w:name="_Toc497823118"/>
            <w:bookmarkStart w:id="20" w:name="_Toc497823597"/>
            <w:bookmarkStart w:id="21" w:name="_Toc466954105"/>
            <w:bookmarkStart w:id="22" w:name="_Toc497884730"/>
            <w:r w:rsidRPr="00C036D4">
              <w:rPr>
                <w:rFonts w:eastAsia="Times New Roman" w:cs="Arial"/>
                <w:b w:val="0"/>
                <w:caps/>
                <w:kern w:val="32"/>
                <w:sz w:val="28"/>
                <w:szCs w:val="28"/>
              </w:rPr>
              <w:lastRenderedPageBreak/>
              <w:t>ZA KOLIK VYRÁBÍ MLÉKO PODNIKY V ČR?</w:t>
            </w:r>
            <w:bookmarkEnd w:id="19"/>
            <w:bookmarkEnd w:id="20"/>
            <w:bookmarkEnd w:id="22"/>
          </w:p>
        </w:tc>
        <w:tc>
          <w:tcPr>
            <w:tcW w:w="3347" w:type="dxa"/>
            <w:tcBorders>
              <w:top w:val="none" w:sz="0" w:space="0" w:color="auto"/>
              <w:left w:val="none" w:sz="0" w:space="0" w:color="auto"/>
              <w:bottom w:val="none" w:sz="0" w:space="0" w:color="auto"/>
              <w:right w:val="none" w:sz="0" w:space="0" w:color="auto"/>
            </w:tcBorders>
            <w:shd w:val="clear" w:color="auto" w:fill="4F81BD" w:themeFill="accent1"/>
          </w:tcPr>
          <w:p w:rsidR="001764F6" w:rsidRPr="001764F6" w:rsidRDefault="001764F6" w:rsidP="001764F6">
            <w:pPr>
              <w:pStyle w:val="Nadpis2"/>
              <w:spacing w:before="0" w:line="240" w:lineRule="auto"/>
              <w:outlineLvl w:val="1"/>
              <w:cnfStyle w:val="100000000000" w:firstRow="1" w:lastRow="0" w:firstColumn="0" w:lastColumn="0" w:oddVBand="0" w:evenVBand="0" w:oddHBand="0" w:evenHBand="0" w:firstRowFirstColumn="0" w:firstRowLastColumn="0" w:lastRowFirstColumn="0" w:lastRowLastColumn="0"/>
              <w:rPr>
                <w:rFonts w:eastAsia="Times New Roman" w:cs="Arial"/>
                <w:caps/>
                <w:kern w:val="32"/>
                <w:sz w:val="28"/>
                <w:szCs w:val="28"/>
              </w:rPr>
            </w:pPr>
          </w:p>
        </w:tc>
      </w:tr>
    </w:tbl>
    <w:p w:rsidR="006B754B" w:rsidRPr="00515243" w:rsidRDefault="008619A6" w:rsidP="006B754B">
      <w:pPr>
        <w:pStyle w:val="Nadpis2"/>
        <w:rPr>
          <w:sz w:val="22"/>
          <w:szCs w:val="22"/>
        </w:rPr>
      </w:pPr>
      <w:bookmarkStart w:id="23" w:name="_Toc497823119"/>
      <w:bookmarkStart w:id="24" w:name="_Toc497823598"/>
      <w:bookmarkStart w:id="25" w:name="_Toc497884731"/>
      <w:r w:rsidRPr="00515243">
        <w:rPr>
          <w:sz w:val="22"/>
          <w:szCs w:val="22"/>
        </w:rPr>
        <w:t xml:space="preserve">Ing. </w:t>
      </w:r>
      <w:r w:rsidR="003F7148">
        <w:rPr>
          <w:sz w:val="22"/>
          <w:szCs w:val="22"/>
        </w:rPr>
        <w:t>Jan Syrůček</w:t>
      </w:r>
      <w:r w:rsidRPr="00515243">
        <w:rPr>
          <w:sz w:val="22"/>
          <w:szCs w:val="22"/>
        </w:rPr>
        <w:t xml:space="preserve">, </w:t>
      </w:r>
      <w:bookmarkEnd w:id="21"/>
      <w:r w:rsidR="003F7148">
        <w:rPr>
          <w:sz w:val="22"/>
          <w:szCs w:val="22"/>
        </w:rPr>
        <w:t>Ph.D.</w:t>
      </w:r>
      <w:bookmarkEnd w:id="23"/>
      <w:bookmarkEnd w:id="24"/>
      <w:bookmarkEnd w:id="25"/>
    </w:p>
    <w:p w:rsidR="008619A6" w:rsidRDefault="008619A6" w:rsidP="005A76E7">
      <w:pPr>
        <w:pStyle w:val="Nadpis3"/>
        <w:pBdr>
          <w:bottom w:val="single" w:sz="4" w:space="1" w:color="7F7F7F" w:themeColor="text1" w:themeTint="80"/>
        </w:pBdr>
        <w:rPr>
          <w:szCs w:val="20"/>
        </w:rPr>
      </w:pPr>
      <w:r w:rsidRPr="00515243">
        <w:rPr>
          <w:szCs w:val="20"/>
        </w:rPr>
        <w:t>Výzkumný ústav živočišné výroby, v.v.i. Praha Uhříněves</w:t>
      </w:r>
    </w:p>
    <w:p w:rsidR="009A492E" w:rsidRPr="009A492E" w:rsidRDefault="009A492E" w:rsidP="009A492E">
      <w:pPr>
        <w:spacing w:before="0"/>
      </w:pPr>
    </w:p>
    <w:tbl>
      <w:tblPr>
        <w:tblStyle w:val="Svtlstnovnzvraznn1"/>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tblBorders>
        <w:shd w:val="clear" w:color="auto" w:fill="DBE5F1" w:themeFill="accent1" w:themeFillTint="33"/>
        <w:tblLook w:val="04A0" w:firstRow="1" w:lastRow="0" w:firstColumn="1" w:lastColumn="0" w:noHBand="0" w:noVBand="1"/>
      </w:tblPr>
      <w:tblGrid>
        <w:gridCol w:w="10118"/>
      </w:tblGrid>
      <w:tr w:rsidR="009A492E" w:rsidRPr="00322234" w:rsidTr="00566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A492E" w:rsidRPr="00322234" w:rsidRDefault="009A492E" w:rsidP="00AD5133">
            <w:pPr>
              <w:ind w:right="57"/>
              <w:rPr>
                <w:b w:val="0"/>
              </w:rPr>
            </w:pPr>
            <w:r w:rsidRPr="00322234">
              <w:rPr>
                <w:b w:val="0"/>
              </w:rPr>
              <w:t>Mléko je jednou z nejvíce vyráběných hodnotných zemědělských komodit na celém světě. Roční celosvětová produkce veškerých druhů mlék představuje 818 mld. litrů, z toho výroba kravského mléka dosahuje 674 mld. litrů a 28 % činí produkce v zemích EU-28 (eAgri, 2017). V ČR představuje mléko dle Strategie resortu MZe s výhledem do roku 2030 jednu z klíčových komodit z hlediska zachování vhodné struktury českého zemědělství. Významnost produkce v ČR potvrzuje podíl tržeb za mléko na živočišné výrobě i na celkové produkci zemědělského odvětví. K 1. 4. 2017 bylo na území ČR celkem 1 421 tis. kusů skotu (meziroční zvýšení o 5 584 kusů, tj. o 0,4 %) a z toho 369 802 dojnic, což představuje meziroční pokles stavu o 2 708, tj. o 1 % (ČSÚ, 2017). Z dlouhodobého pohledu je patrné, že se v ČR snížily počty dojených krav (v letech 2003 až 2013 o 99 tis. kusů a 21 %). Pokles početních stavů se zastavil v roce 2013, od kdy se stavy dojnic mírně zvýšily (v letech 2013 až 2017 o 2 tis. kusů a 1 %). Pozitivně lze hodnotit růst dojivosti v ČR. Celková výroba mléka v ČR v roce 2016 vzrostla oproti roku 2015 o 38 mil. litrů (1,3 %), byla na úrovni 2 984 mil. litrů tj. 22,03 litrů na krávu a den (meziroční zvýšení o 0,1 litrů a 0,5 %) a 8 061 litrů na krávu za rok. V první polovině roku 2017 se počet skotu proti stejnému období předchozího roku zvýšil o 36,4 tis. kusů (+ 2,6 %), z toho počet dojených krav se snížil o 7,3 tis. kusů na 364 tis. kusů (- 2%). Výroba mléka v 1. pololetí roku 2017 byla 1 495 mil. litrů, tj. ve srovnání s minulým rokem pokles o 1,8 %. Průměrná denní dojivost v prvním pololetí tohoto roku byla 22,69 litrů, což představuje nárůst o 1,1%. Dojivost se v ČR zvyšuje každým rokem a je jedna z nejvyšších mezi státy EU. V roce 2016 se dojivost na krávu u států EU-28 pohybovala v průměru mezi 3 299 kg (Rumunsko) a 9 621 kg (Dánsko) při průměru 6 906 litrů. ČR byla z tohoto pohledu 6. nejlepší s průměrem 8 344 kg (EU Milk Market Observatory, 2017).</w:t>
            </w:r>
          </w:p>
        </w:tc>
      </w:tr>
    </w:tbl>
    <w:p w:rsidR="00474B0E" w:rsidRDefault="00474B0E" w:rsidP="00474B0E"/>
    <w:p w:rsidR="00474B0E" w:rsidRDefault="00474B0E" w:rsidP="00474B0E">
      <w:pPr>
        <w:ind w:firstLine="708"/>
        <w:sectPr w:rsidR="00474B0E" w:rsidSect="001A30E1">
          <w:footerReference w:type="default" r:id="rId38"/>
          <w:pgSz w:w="11906" w:h="16838" w:code="9"/>
          <w:pgMar w:top="1134" w:right="964" w:bottom="1134" w:left="964" w:header="680" w:footer="624" w:gutter="0"/>
          <w:cols w:space="708"/>
          <w:docGrid w:linePitch="360"/>
        </w:sectPr>
      </w:pPr>
    </w:p>
    <w:p w:rsidR="00474B0E" w:rsidRDefault="00474B0E" w:rsidP="00474B0E">
      <w:pPr>
        <w:spacing w:before="0"/>
      </w:pPr>
      <w:r w:rsidRPr="00F56708">
        <w:lastRenderedPageBreak/>
        <w:t xml:space="preserve">Začátkem roku 2016 ještě pokračovalo v ČR, stejně jako ve většině členských států EU, snižování nákupní </w:t>
      </w:r>
      <w:r w:rsidRPr="007E6F65">
        <w:rPr>
          <w:spacing w:val="-4"/>
        </w:rPr>
        <w:t>ceny mléka. V ČR dosáhla cena minima v červenci, kdy</w:t>
      </w:r>
      <w:r w:rsidRPr="00F56708">
        <w:t xml:space="preserve"> byla 6,10 Kč/l, do konce roku se zvyšovala (7,50 Kč/l v prosinci) a v průměru za rok 2016 byla v ČR cena 6,70 Kč/l, tj. meziroční snížení o 0,96 Kč/l a 12 %. V</w:t>
      </w:r>
      <w:r w:rsidR="007E6F65">
        <w:t> </w:t>
      </w:r>
      <w:r w:rsidRPr="00F56708">
        <w:t xml:space="preserve">prvních </w:t>
      </w:r>
      <w:r>
        <w:t>devíti</w:t>
      </w:r>
      <w:r w:rsidRPr="00F56708">
        <w:t xml:space="preserve"> měsících roku 2017 se cena v ČR zvedla ze 7,74 Kč/l (1/2017) na 8,</w:t>
      </w:r>
      <w:r>
        <w:t>86 Kč/l (9</w:t>
      </w:r>
      <w:r w:rsidRPr="00F56708">
        <w:t>/2017) při průměru 8,</w:t>
      </w:r>
      <w:r>
        <w:t>31</w:t>
      </w:r>
      <w:r w:rsidRPr="00F56708">
        <w:t xml:space="preserve"> Kč/l (MZe, 2017). Vzhledem k aktuální situaci a vývoji na českém i evropském trhu se dá předpokládat další zvyšování a následná stabilizace cen mléka v posledních měsících roku 2017.</w:t>
      </w:r>
      <w:r>
        <w:t xml:space="preserve"> </w:t>
      </w:r>
    </w:p>
    <w:p w:rsidR="00474B0E" w:rsidRPr="00F56708" w:rsidRDefault="00474B0E" w:rsidP="00474B0E">
      <w:r w:rsidRPr="00F56708">
        <w:t>Ml</w:t>
      </w:r>
      <w:r>
        <w:t xml:space="preserve">éko a mléčné výrobky jsou z </w:t>
      </w:r>
      <w:r w:rsidRPr="00F56708">
        <w:t>pohledu ČR silnou exportní komoditou,</w:t>
      </w:r>
      <w:r>
        <w:t xml:space="preserve"> 40 % objemu výroby mléka se z</w:t>
      </w:r>
      <w:r w:rsidR="007E6F65">
        <w:t> </w:t>
      </w:r>
      <w:r>
        <w:t>ČR vyváží, a to ať již v podobě mléčné suroviny či v</w:t>
      </w:r>
      <w:r w:rsidR="007E6F65">
        <w:t> </w:t>
      </w:r>
      <w:r w:rsidRPr="00F56708">
        <w:t>pod</w:t>
      </w:r>
      <w:r>
        <w:t xml:space="preserve">obě mléčných výrobků. Proto je vývoj </w:t>
      </w:r>
      <w:r w:rsidRPr="00F56708">
        <w:t xml:space="preserve">sektoru </w:t>
      </w:r>
      <w:r w:rsidRPr="00FC4CE4">
        <w:t>mléka výrazně ovlivňován situací na evropském i</w:t>
      </w:r>
      <w:r w:rsidR="00FC4CE4">
        <w:t> </w:t>
      </w:r>
      <w:r w:rsidRPr="00FC4CE4">
        <w:t>světovém</w:t>
      </w:r>
      <w:r w:rsidRPr="00F56708">
        <w:t xml:space="preserve"> trhu s mlékem a mléčnými výrobky.</w:t>
      </w:r>
      <w:r>
        <w:t xml:space="preserve"> </w:t>
      </w:r>
      <w:r w:rsidRPr="00090A85">
        <w:t>Z</w:t>
      </w:r>
      <w:r w:rsidR="00FC4CE4">
        <w:t> </w:t>
      </w:r>
      <w:r w:rsidRPr="00090A85">
        <w:t xml:space="preserve">celkové tržní produkce mléka bylo zejména </w:t>
      </w:r>
      <w:r w:rsidRPr="00FC4CE4">
        <w:rPr>
          <w:spacing w:val="-4"/>
        </w:rPr>
        <w:t>prostřednictvím odbytových organizací prodáno celkem</w:t>
      </w:r>
      <w:r w:rsidRPr="00090A85">
        <w:t xml:space="preserve"> 23,7 % mléka do zahraničí, převážně do Německa (eAgri, 2017).</w:t>
      </w:r>
      <w:r>
        <w:t xml:space="preserve"> Zatímco v užitkovosti se ČR řádí mezi nejlepší státy v rámci EU, tak nákupní cena mléka je </w:t>
      </w:r>
      <w:r w:rsidRPr="00FC4CE4">
        <w:rPr>
          <w:spacing w:val="-4"/>
        </w:rPr>
        <w:lastRenderedPageBreak/>
        <w:t xml:space="preserve">dlouhodobě v ČR pod průměrem EU. V roce 2016 </w:t>
      </w:r>
      <w:r>
        <w:t xml:space="preserve">byla ve státech EU-28 průměrná cena 28,42 €/100 kg, přičemž ČR dosáhla úrovně 85 % (24,08 €/100 kg). </w:t>
      </w:r>
      <w:r w:rsidRPr="00F56708">
        <w:t>Vyšší průměrné ceny v roce 2016 dosahovaly i naši nejbližší sousedé, kromě Německa a Rakouska byly vyšší ceny mléka v průměru také v Polsku a na Slovensku. Vývoj nákupních cen mléka v EU naznačil, že v první polovině roku 2016 klesaly ceny i ve většině zemí EU. Průměr států EU-28 se meziročně snížil z 30,84 (2015) na 28,42 €/100 kg (2016), tj. o</w:t>
      </w:r>
      <w:r w:rsidR="00FC4CE4">
        <w:t> </w:t>
      </w:r>
      <w:r w:rsidRPr="00F56708">
        <w:t xml:space="preserve">8 %. </w:t>
      </w:r>
      <w:r w:rsidRPr="00D10403">
        <w:t xml:space="preserve">V prvních </w:t>
      </w:r>
      <w:r>
        <w:t>devíti</w:t>
      </w:r>
      <w:r w:rsidRPr="00D10403">
        <w:t xml:space="preserve"> měsících </w:t>
      </w:r>
      <w:r>
        <w:t xml:space="preserve">roku 2017 </w:t>
      </w:r>
      <w:r w:rsidRPr="00D10403">
        <w:t>se cena v</w:t>
      </w:r>
      <w:r w:rsidR="00FC4CE4">
        <w:t> </w:t>
      </w:r>
      <w:r w:rsidRPr="00D10403">
        <w:t>EU zvyšovala, byla 3</w:t>
      </w:r>
      <w:r>
        <w:t>3,82</w:t>
      </w:r>
      <w:r w:rsidRPr="00D10403">
        <w:t xml:space="preserve"> €/100 kg v </w:t>
      </w:r>
      <w:r>
        <w:t>září 2017</w:t>
      </w:r>
      <w:r w:rsidRPr="00D10403">
        <w:t>. V</w:t>
      </w:r>
      <w:r w:rsidR="00FC4CE4">
        <w:t> </w:t>
      </w:r>
      <w:r w:rsidRPr="00D10403">
        <w:t>průměru ve státech EU-28 vzrostla oproti průměru roku 2016 o 1</w:t>
      </w:r>
      <w:r>
        <w:t>9</w:t>
      </w:r>
      <w:r w:rsidRPr="00D10403">
        <w:t xml:space="preserve"> %. (EU Milk Market Observatory, 2017).</w:t>
      </w:r>
      <w:r>
        <w:t xml:space="preserve"> Cena mléka se v prvních měsících roku 2017 </w:t>
      </w:r>
      <w:r w:rsidRPr="00FC4CE4">
        <w:rPr>
          <w:spacing w:val="-4"/>
        </w:rPr>
        <w:t>zvyšovala i u nejvýznamnějších světových producentů.</w:t>
      </w:r>
      <w:r>
        <w:t xml:space="preserve"> Cena v období ledna až srpna 2017 byla oproti roku 2016 v USA vyšší o 8% a v Rusku až o 32 %. Světové údaje o nákupních cenách poukazují na významnou rozdílnost v cenách u jednotlivých států, přičemž jedna z nejvyšších cen byla v Číně (v roce 2016 v průměru </w:t>
      </w:r>
      <w:r w:rsidRPr="00264B09">
        <w:t>47,27</w:t>
      </w:r>
      <w:r>
        <w:t xml:space="preserve"> €/100 kg, CLAL.IT, 2017).</w:t>
      </w:r>
    </w:p>
    <w:p w:rsidR="00474B0E" w:rsidRDefault="00474B0E" w:rsidP="00474B0E">
      <w:pPr>
        <w:sectPr w:rsidR="00474B0E" w:rsidSect="001A30E1">
          <w:type w:val="continuous"/>
          <w:pgSz w:w="11906" w:h="16838" w:code="9"/>
          <w:pgMar w:top="1134" w:right="964" w:bottom="1134" w:left="964" w:header="680" w:footer="624" w:gutter="0"/>
          <w:cols w:num="2" w:space="454"/>
          <w:docGrid w:linePitch="360"/>
        </w:sectPr>
      </w:pPr>
    </w:p>
    <w:p w:rsidR="00474B0E" w:rsidRDefault="00474B0E" w:rsidP="00157F27">
      <w:pPr>
        <w:spacing w:before="0" w:line="276" w:lineRule="auto"/>
      </w:pPr>
      <w:r>
        <w:lastRenderedPageBreak/>
        <w:t xml:space="preserve">S vývojem nákupních cen mléka souvisí ceny průmyslových výrobců a spotřebitelské ceny mléka a mléčných výrobků. I přes kolísání nákupní ceny mléka (ceny zemědělských výrobců) v ČR v posledních letech, se ceny průmyslových výrobců a zejména spotřebitelské ceny zvyšují každým rokem. Výraznější nárůst spotřebitelských cen byl v ČR patrný </w:t>
      </w:r>
      <w:r>
        <w:lastRenderedPageBreak/>
        <w:t>v posledních měsících zejména u másla, kde za prvních osm měsíců roku 2017 byla cena v průměru 182 Kč/kg, tj. vyšší o 59 Kč/kg, než cena průmyslových výrobců. Tím se vytváří marže (rozdíl mezi spotřebitelskou cenou</w:t>
      </w:r>
      <w:r w:rsidRPr="00757A5F">
        <w:t xml:space="preserve"> a cen</w:t>
      </w:r>
      <w:r>
        <w:t>ou</w:t>
      </w:r>
      <w:r w:rsidRPr="00757A5F">
        <w:t xml:space="preserve"> průmyslových výrobců</w:t>
      </w:r>
      <w:r>
        <w:t>) ve výši 48 %. Ve srovnání s rokem 2010 se jedná o zvýšení marže o 16 %.</w:t>
      </w:r>
    </w:p>
    <w:p w:rsidR="00474B0E" w:rsidRDefault="00474B0E" w:rsidP="00157F27">
      <w:pPr>
        <w:spacing w:line="276" w:lineRule="auto"/>
        <w:ind w:firstLine="708"/>
        <w:sectPr w:rsidR="00474B0E" w:rsidSect="001A30E1">
          <w:pgSz w:w="11906" w:h="16838" w:code="9"/>
          <w:pgMar w:top="1134" w:right="964" w:bottom="1134" w:left="964" w:header="680" w:footer="624" w:gutter="0"/>
          <w:cols w:num="2" w:space="454"/>
          <w:docGrid w:linePitch="360"/>
        </w:sectPr>
      </w:pPr>
    </w:p>
    <w:p w:rsidR="00474B0E" w:rsidRDefault="00474B0E" w:rsidP="00157F27">
      <w:pPr>
        <w:spacing w:line="276" w:lineRule="auto"/>
      </w:pPr>
      <w:r w:rsidRPr="00757A5F">
        <w:lastRenderedPageBreak/>
        <w:t>Vzhledem k tomu, že cena mléka v ČR i v ostatních státech EU v posledních letech výrazně kolísá a je chovatelem téměř neovlivnitelná, mělo by být cílem chovatelů hledat rezervy na straně nákladů a dosahovat dobrých výsledků v produkčních i reprodukčních ukazatelích, což zajistí větší odolnost vůči tržním výkyvům. K</w:t>
      </w:r>
      <w:r w:rsidR="00EF6FDA">
        <w:t> </w:t>
      </w:r>
      <w:r w:rsidRPr="00757A5F">
        <w:t>lepšímu pochopení svých rezerv přispěje srovnání vlastních výsledků s průměrnými hodnotami a také s</w:t>
      </w:r>
      <w:r w:rsidR="00EF6FDA">
        <w:t> </w:t>
      </w:r>
      <w:r w:rsidRPr="00757A5F">
        <w:t>nejlepšími podniky v odvětví.</w:t>
      </w:r>
      <w:r>
        <w:t xml:space="preserve"> Proto se v</w:t>
      </w:r>
      <w:r w:rsidRPr="00327A46">
        <w:t>e Výzkumném ústa</w:t>
      </w:r>
      <w:r>
        <w:t xml:space="preserve">vu živočišné výroby v. v. i. </w:t>
      </w:r>
      <w:r w:rsidRPr="00327A46">
        <w:t>dlouhodobě zabýváme šetřením a vyhodnocováním rentability výroby mléka v ČR. Od roku 2006 sbíráme a zpracováváme údaje od chovatelů dojených krav v ČR. Data získáváme každoročně prostřednictvím dotazníku, v kterém jsou otázky zaměřené zejména na výrobní ukazatele, reprodukci, obměnu stáda, dotace, krmiva a nákladové položky. Cílem šetření je jednak stanovení celkových nákladů výroby mléka, definování rentability produkce, stanovení závislostí mezi výrobními a ekonomickými parametry a také je cílem poskytnout chovatelům nástroje pro lepší management chovu. Chovatelé získávají kromě svých výsledků s vývojem v čase, také anonymní srovnání s</w:t>
      </w:r>
      <w:r w:rsidR="00EF6FDA">
        <w:t> </w:t>
      </w:r>
      <w:r w:rsidRPr="00327A46">
        <w:t>konkurenčními podniky a závěrečnou zprávu sumarizující výsledky aktuálního ročníku a poskytující informace o</w:t>
      </w:r>
      <w:r w:rsidR="00EF6FDA">
        <w:t> </w:t>
      </w:r>
      <w:r w:rsidRPr="00327A46">
        <w:t>stavu na trhu s mlékem v ČR a v EU.</w:t>
      </w:r>
      <w:r>
        <w:t xml:space="preserve"> Výsledky bývají každoročně publikovány v odborném a vědeckém tisku.</w:t>
      </w:r>
    </w:p>
    <w:p w:rsidR="00474B0E" w:rsidRPr="00EF6FDA" w:rsidRDefault="00157F27" w:rsidP="00157F27">
      <w:pPr>
        <w:spacing w:line="276" w:lineRule="auto"/>
        <w:rPr>
          <w:spacing w:val="-2"/>
        </w:rPr>
      </w:pPr>
      <w:r w:rsidRPr="00157F27">
        <w:rPr>
          <w:spacing w:val="-2"/>
        </w:rPr>
        <w:t>Celkem byla za rok 2016 v šetření vyhodnocena užitkovost od</w:t>
      </w:r>
      <w:r>
        <w:rPr>
          <w:spacing w:val="-2"/>
        </w:rPr>
        <w:t xml:space="preserve"> </w:t>
      </w:r>
      <w:r w:rsidR="00474B0E" w:rsidRPr="00EF6FDA">
        <w:rPr>
          <w:spacing w:val="-2"/>
        </w:rPr>
        <w:t>60 666 dojnic (16 % stavů ČR) ze 103 chovů s</w:t>
      </w:r>
      <w:r>
        <w:rPr>
          <w:spacing w:val="-2"/>
        </w:rPr>
        <w:t> </w:t>
      </w:r>
      <w:r w:rsidR="00474B0E" w:rsidRPr="00EF6FDA">
        <w:rPr>
          <w:spacing w:val="-2"/>
        </w:rPr>
        <w:t>průměrným stavem 589 dojnic na podnik. Celkově bylo prodáno od podniků 516 mil. litrů mléka, což tvoří 18 % celkové tržní produkce v ČR za rok 2016 (2 885 mil. l) a prodej mléka představoval pro podniky celkové příjmy 3,5</w:t>
      </w:r>
      <w:r>
        <w:rPr>
          <w:spacing w:val="-2"/>
        </w:rPr>
        <w:t> </w:t>
      </w:r>
      <w:r w:rsidR="00474B0E" w:rsidRPr="00EF6FDA">
        <w:rPr>
          <w:spacing w:val="-2"/>
        </w:rPr>
        <w:t>mld. Kč. Podniky byly rozděleny do tří skupin podle toho, zda chovají plemeno české strakaté (C), holštýnské (H), obě (CH).</w:t>
      </w:r>
    </w:p>
    <w:p w:rsidR="00474B0E" w:rsidRDefault="00474B0E" w:rsidP="00157F27">
      <w:pPr>
        <w:pStyle w:val="Nadpis3"/>
        <w:spacing w:before="120"/>
      </w:pPr>
      <w:r>
        <w:t xml:space="preserve">Tabulka </w:t>
      </w:r>
      <w:r>
        <w:fldChar w:fldCharType="begin"/>
      </w:r>
      <w:r>
        <w:instrText xml:space="preserve"> SEQ Tabulka \* ARABIC </w:instrText>
      </w:r>
      <w:r>
        <w:fldChar w:fldCharType="separate"/>
      </w:r>
      <w:r w:rsidR="00BA5EE3">
        <w:rPr>
          <w:noProof/>
        </w:rPr>
        <w:t>1</w:t>
      </w:r>
      <w:r>
        <w:rPr>
          <w:noProof/>
        </w:rPr>
        <w:fldChar w:fldCharType="end"/>
      </w:r>
      <w:r>
        <w:t>: Průměrné výrobní ukazatele chovu dojnic u souboru podniků a v ČR za rok 2016</w:t>
      </w:r>
    </w:p>
    <w:tbl>
      <w:tblPr>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0" w:type="dxa"/>
          <w:right w:w="0" w:type="dxa"/>
        </w:tblCellMar>
        <w:tblLook w:val="04A0" w:firstRow="1" w:lastRow="0" w:firstColumn="1" w:lastColumn="0" w:noHBand="0" w:noVBand="1"/>
      </w:tblPr>
      <w:tblGrid>
        <w:gridCol w:w="4702"/>
        <w:gridCol w:w="1082"/>
        <w:gridCol w:w="1083"/>
        <w:gridCol w:w="1083"/>
        <w:gridCol w:w="1083"/>
        <w:gridCol w:w="1085"/>
      </w:tblGrid>
      <w:tr w:rsidR="00474B0E" w:rsidRPr="00583892" w:rsidTr="002A2392">
        <w:trPr>
          <w:trHeight w:val="20"/>
        </w:trPr>
        <w:tc>
          <w:tcPr>
            <w:tcW w:w="2324" w:type="pct"/>
            <w:shd w:val="clear" w:color="auto" w:fill="auto"/>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ukazatel/plemeno</w:t>
            </w:r>
          </w:p>
        </w:tc>
        <w:tc>
          <w:tcPr>
            <w:tcW w:w="535" w:type="pct"/>
            <w:shd w:val="clear" w:color="auto" w:fill="DBE5F1" w:themeFill="accent1" w:themeFillTint="33"/>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C</w:t>
            </w:r>
          </w:p>
        </w:tc>
        <w:tc>
          <w:tcPr>
            <w:tcW w:w="535" w:type="pct"/>
            <w:shd w:val="clear" w:color="auto" w:fill="DBE5F1" w:themeFill="accent1" w:themeFillTint="33"/>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H</w:t>
            </w:r>
          </w:p>
        </w:tc>
        <w:tc>
          <w:tcPr>
            <w:tcW w:w="535" w:type="pct"/>
            <w:shd w:val="clear" w:color="auto" w:fill="DBE5F1" w:themeFill="accent1" w:themeFillTint="33"/>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CH</w:t>
            </w:r>
          </w:p>
        </w:tc>
        <w:tc>
          <w:tcPr>
            <w:tcW w:w="535" w:type="pct"/>
            <w:shd w:val="clear" w:color="auto" w:fill="DBE5F1" w:themeFill="accent1" w:themeFillTint="33"/>
            <w:tcMar>
              <w:top w:w="15" w:type="dxa"/>
              <w:left w:w="70" w:type="dxa"/>
              <w:bottom w:w="0" w:type="dxa"/>
              <w:right w:w="70" w:type="dxa"/>
            </w:tcMar>
            <w:vAlign w:val="center"/>
            <w:hideMark/>
          </w:tcPr>
          <w:p w:rsidR="00474B0E" w:rsidRPr="00583892" w:rsidRDefault="00474B0E" w:rsidP="00EF6FDA">
            <w:pPr>
              <w:spacing w:before="40" w:line="240" w:lineRule="auto"/>
              <w:ind w:left="708" w:hanging="708"/>
              <w:jc w:val="center"/>
              <w:rPr>
                <w:szCs w:val="24"/>
              </w:rPr>
            </w:pPr>
            <w:r w:rsidRPr="00583892">
              <w:rPr>
                <w:szCs w:val="24"/>
              </w:rPr>
              <w:t>celkem</w:t>
            </w:r>
          </w:p>
        </w:tc>
        <w:tc>
          <w:tcPr>
            <w:tcW w:w="536" w:type="pct"/>
            <w:shd w:val="clear" w:color="auto" w:fill="DBE5F1" w:themeFill="accent1" w:themeFillTint="33"/>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ČR</w:t>
            </w:r>
          </w:p>
        </w:tc>
      </w:tr>
      <w:tr w:rsidR="00474B0E" w:rsidRPr="00583892" w:rsidTr="002A2392">
        <w:trPr>
          <w:trHeight w:val="18"/>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počet vyhodnocených podniků</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54</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103</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počet dojnic v podniku</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516</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596</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782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589</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314</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počet dojnic na ošetřovatele</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52,2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47,4</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46,9</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49,0</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výroba mléka na dojnici (l)</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7 201</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9 372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8 653</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8 508</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8 061</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tržní produkce mléka na dojnici (l)</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6 960</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9 084</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8 409</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8 242</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7 794</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obsah bílkovin (%)</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3,57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3,40</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3,47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3,47</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3,39</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obsah tuku (%)</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4,09</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3,86</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3,97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3,95</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3,88</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počet somatických buněk (tis./ml)</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203</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217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192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209</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242</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délka mezidobí (dny)</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388</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404</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400</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398</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401</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délka servis periody (dny)</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101</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122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113</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114</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99</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věk při prvním otelení (dny)</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832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752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767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783</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794</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odchov telat/100 krav</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102,2</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100,8</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100,0</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101,2</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91,94</w:t>
            </w:r>
          </w:p>
        </w:tc>
      </w:tr>
      <w:tr w:rsidR="00474B0E" w:rsidRPr="00583892" w:rsidTr="002A2392">
        <w:trPr>
          <w:trHeight w:val="20"/>
        </w:trPr>
        <w:tc>
          <w:tcPr>
            <w:tcW w:w="2324" w:type="pct"/>
            <w:shd w:val="clear" w:color="auto" w:fill="DBE5F1" w:themeFill="accent1" w:themeFillTint="33"/>
            <w:tcMar>
              <w:top w:w="15" w:type="dxa"/>
              <w:left w:w="70" w:type="dxa"/>
              <w:bottom w:w="0" w:type="dxa"/>
              <w:right w:w="70" w:type="dxa"/>
            </w:tcMar>
            <w:hideMark/>
          </w:tcPr>
          <w:p w:rsidR="00474B0E" w:rsidRPr="00583892" w:rsidRDefault="00474B0E" w:rsidP="00EF6FDA">
            <w:pPr>
              <w:spacing w:before="40" w:line="240" w:lineRule="auto"/>
              <w:jc w:val="left"/>
              <w:rPr>
                <w:szCs w:val="24"/>
              </w:rPr>
            </w:pPr>
            <w:r w:rsidRPr="00583892">
              <w:rPr>
                <w:szCs w:val="24"/>
              </w:rPr>
              <w:t>obměna stáda</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31,7</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38,4</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33,0</w:t>
            </w:r>
          </w:p>
        </w:tc>
        <w:tc>
          <w:tcPr>
            <w:tcW w:w="535"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35,4</w:t>
            </w:r>
          </w:p>
        </w:tc>
        <w:tc>
          <w:tcPr>
            <w:tcW w:w="536" w:type="pct"/>
            <w:shd w:val="clear" w:color="auto" w:fill="auto"/>
            <w:tcMar>
              <w:top w:w="15" w:type="dxa"/>
              <w:left w:w="70" w:type="dxa"/>
              <w:bottom w:w="0" w:type="dxa"/>
              <w:right w:w="70" w:type="dxa"/>
            </w:tcMar>
            <w:vAlign w:val="center"/>
            <w:hideMark/>
          </w:tcPr>
          <w:p w:rsidR="00474B0E" w:rsidRPr="00583892" w:rsidRDefault="00474B0E" w:rsidP="00EF6FDA">
            <w:pPr>
              <w:spacing w:before="40" w:line="240" w:lineRule="auto"/>
              <w:jc w:val="center"/>
              <w:rPr>
                <w:szCs w:val="24"/>
              </w:rPr>
            </w:pPr>
            <w:r w:rsidRPr="00583892">
              <w:rPr>
                <w:szCs w:val="24"/>
              </w:rPr>
              <w:t>35,0</w:t>
            </w:r>
          </w:p>
        </w:tc>
      </w:tr>
    </w:tbl>
    <w:p w:rsidR="00474B0E" w:rsidRPr="00241F61" w:rsidRDefault="00474B0E" w:rsidP="00474B0E">
      <w:pPr>
        <w:rPr>
          <w:i/>
        </w:rPr>
      </w:pPr>
      <w:r w:rsidRPr="00241F61">
        <w:rPr>
          <w:i/>
        </w:rPr>
        <w:t xml:space="preserve">Pramen: </w:t>
      </w:r>
      <w:r>
        <w:rPr>
          <w:i/>
        </w:rPr>
        <w:t>Výsledky nákladového šetření výroby mléka za rok 2016; ČSÚ (2017); ČMSCH (2017).</w:t>
      </w:r>
    </w:p>
    <w:p w:rsidR="00474B0E" w:rsidRDefault="00474B0E" w:rsidP="00EF6FDA">
      <w:r w:rsidRPr="00533720">
        <w:t xml:space="preserve">V souboru 103 podniků činila průměrná roční dojivost 8 508 litrů na krávu a tržní produkce byla 8 242 litrů (tabulka </w:t>
      </w:r>
      <w:r>
        <w:t>1</w:t>
      </w:r>
      <w:r w:rsidRPr="00533720">
        <w:t>), což představuje zvýšení o 162 litrů a 2 % oproti výsledkům u souboru podniků v roce 2015.</w:t>
      </w:r>
      <w:r>
        <w:t xml:space="preserve"> </w:t>
      </w:r>
      <w:r w:rsidRPr="00533720">
        <w:t>Tržnost mléka se pohybovala mezi 90 % až 99 % při průměru 96,8 %, což je srovnatelný výsledek s ČR v roce 2016 (96,7 %).</w:t>
      </w:r>
      <w:r>
        <w:t xml:space="preserve"> Rozdílnost mezi plemeny je patrná v užitkovosti, kde vyšší dojivost dosahují v průměru podniky s chovem krav plemene H, avšak s nižším obsahem tuku a bílkovin v mléce. </w:t>
      </w:r>
      <w:r w:rsidRPr="008B1C25">
        <w:t>Ukaza</w:t>
      </w:r>
      <w:r>
        <w:t>telé reprodukce</w:t>
      </w:r>
      <w:r w:rsidRPr="008B1C25">
        <w:t xml:space="preserve"> se většinou </w:t>
      </w:r>
      <w:r>
        <w:t>také</w:t>
      </w:r>
      <w:r w:rsidRPr="008B1C25">
        <w:t xml:space="preserve"> liší podle zastoupení plemen a intenzity výroby. Z výsledků je patrné, že vyšší úrovně březosti dosahují dojnice a jalovice plemene C, u kterých bylo nejkratšího mezidobí (388 dní) při nejkratší průměrné délce servis </w:t>
      </w:r>
      <w:r w:rsidRPr="008B1C25">
        <w:lastRenderedPageBreak/>
        <w:t xml:space="preserve">periody (101 dní). Po první inseminaci vychází v průměru u podniků březosti jalovic a krav 61 % a 40 %, což je téměř shodné jako průměrné výsledky v ČR (62 a 42 %). Věk při prvním otelení byl v souboru podniků u dojnic plemene C vyšší, a to 832 dní oproti plemenu H (752 dní) a průměru na úrovni 783 dní. </w:t>
      </w:r>
    </w:p>
    <w:p w:rsidR="00360CA2" w:rsidRDefault="00360CA2" w:rsidP="00F72F07">
      <w:pPr>
        <w:spacing w:before="0"/>
      </w:pPr>
    </w:p>
    <w:p w:rsidR="00360CA2" w:rsidRDefault="00360CA2" w:rsidP="00F72F07">
      <w:pPr>
        <w:spacing w:before="0"/>
        <w:rPr>
          <w:szCs w:val="24"/>
        </w:rPr>
        <w:sectPr w:rsidR="00360CA2" w:rsidSect="001A30E1">
          <w:type w:val="continuous"/>
          <w:pgSz w:w="11906" w:h="16838" w:code="9"/>
          <w:pgMar w:top="1134" w:right="964" w:bottom="1134" w:left="964" w:header="680" w:footer="624" w:gutter="0"/>
          <w:cols w:space="708"/>
          <w:docGrid w:linePitch="360"/>
        </w:sectPr>
      </w:pPr>
    </w:p>
    <w:p w:rsidR="00474B0E" w:rsidRPr="00360CA2" w:rsidRDefault="00474B0E" w:rsidP="00360CA2">
      <w:pPr>
        <w:spacing w:before="0"/>
        <w:rPr>
          <w:spacing w:val="-4"/>
        </w:rPr>
      </w:pPr>
      <w:r w:rsidRPr="00360CA2">
        <w:rPr>
          <w:spacing w:val="-4"/>
          <w:szCs w:val="24"/>
        </w:rPr>
        <w:lastRenderedPageBreak/>
        <w:t>Celkové ztráty telat byly v průměru</w:t>
      </w:r>
      <w:r w:rsidRPr="00360CA2">
        <w:rPr>
          <w:color w:val="FF0000"/>
          <w:spacing w:val="-4"/>
          <w:szCs w:val="24"/>
        </w:rPr>
        <w:t xml:space="preserve"> </w:t>
      </w:r>
      <w:r w:rsidRPr="00360CA2">
        <w:rPr>
          <w:spacing w:val="-4"/>
          <w:szCs w:val="24"/>
        </w:rPr>
        <w:t xml:space="preserve">10,8 % při vysoké variabilitě mezi podniky. V ČR (ČSÚ, 2017) byly v roce 2016 úhyny telat u všech plemen ve výši 6,2 % z počtu narozených a počet odchovaných telat byl nižší (91,9) oproti zjištěným výsledkům (101,2). Celkové procento vyřazování krav bylo v souboru podniků za rok 2016 v průměru 35,4 %, což je o 1,5 % více než v roce 2015. </w:t>
      </w:r>
      <w:r w:rsidRPr="00360CA2">
        <w:rPr>
          <w:spacing w:val="-6"/>
          <w:szCs w:val="24"/>
        </w:rPr>
        <w:t>Větší obměnu stáda mají chovy s plemenem H (38,4</w:t>
      </w:r>
      <w:r w:rsidR="00360CA2" w:rsidRPr="00360CA2">
        <w:rPr>
          <w:spacing w:val="-6"/>
          <w:szCs w:val="24"/>
        </w:rPr>
        <w:t> </w:t>
      </w:r>
      <w:r w:rsidRPr="00360CA2">
        <w:rPr>
          <w:spacing w:val="-6"/>
          <w:szCs w:val="24"/>
        </w:rPr>
        <w:t>%).</w:t>
      </w:r>
      <w:r w:rsidRPr="00360CA2">
        <w:rPr>
          <w:spacing w:val="-4"/>
          <w:szCs w:val="24"/>
        </w:rPr>
        <w:t xml:space="preserve"> Výsledky kontroly mléčné užitkovosti v kontrolním roce 2015/2016 v ČR udávají průměrný podíl vyřazených dojnic 35 %, resp. 33 % a 36 % u plemene C a H (ČMSCH, 2017). Dojnice plemene C jsou vyřazovány později, což potvrzuje podíl krav na 3. a vyšší laktaci (44,6 %), vyšší průměrné pořadí laktace ve stádě (2,6) a též nižší roční obměna stáda (31,7 %).</w:t>
      </w:r>
    </w:p>
    <w:p w:rsidR="00474B0E" w:rsidRPr="00360CA2" w:rsidRDefault="00360CA2" w:rsidP="00360CA2">
      <w:pPr>
        <w:spacing w:before="0"/>
        <w:rPr>
          <w:spacing w:val="-4"/>
          <w:szCs w:val="24"/>
        </w:rPr>
      </w:pPr>
      <w:r w:rsidRPr="00360CA2">
        <w:rPr>
          <w:spacing w:val="-4"/>
          <w:szCs w:val="24"/>
        </w:rPr>
        <w:br w:type="column"/>
      </w:r>
      <w:r w:rsidR="00474B0E" w:rsidRPr="00360CA2">
        <w:rPr>
          <w:spacing w:val="-4"/>
          <w:szCs w:val="24"/>
        </w:rPr>
        <w:lastRenderedPageBreak/>
        <w:t>V roce 2016 byly nejčastějším důvodem vyřazování (24</w:t>
      </w:r>
      <w:r w:rsidR="00340D8F">
        <w:rPr>
          <w:spacing w:val="-4"/>
          <w:szCs w:val="24"/>
        </w:rPr>
        <w:t> </w:t>
      </w:r>
      <w:r w:rsidR="00474B0E" w:rsidRPr="00360CA2">
        <w:rPr>
          <w:spacing w:val="-4"/>
          <w:szCs w:val="24"/>
        </w:rPr>
        <w:t>%) poruchy plodnosti. Významný podíl dojnic byl také vyřazován z důvodu nízké produkce mléka (14,7</w:t>
      </w:r>
      <w:r w:rsidR="00340D8F">
        <w:rPr>
          <w:spacing w:val="-4"/>
          <w:szCs w:val="24"/>
        </w:rPr>
        <w:t> </w:t>
      </w:r>
      <w:r w:rsidR="00474B0E" w:rsidRPr="00360CA2">
        <w:rPr>
          <w:spacing w:val="-4"/>
          <w:szCs w:val="24"/>
        </w:rPr>
        <w:t>%), kvůli mastitidám (14 %), z důvodu kulhání (14 %) a</w:t>
      </w:r>
      <w:r>
        <w:rPr>
          <w:spacing w:val="-4"/>
          <w:szCs w:val="24"/>
        </w:rPr>
        <w:t xml:space="preserve"> </w:t>
      </w:r>
      <w:r w:rsidR="00474B0E" w:rsidRPr="00360CA2">
        <w:rPr>
          <w:spacing w:val="-4"/>
          <w:szCs w:val="24"/>
        </w:rPr>
        <w:t>onemocnění (12,3</w:t>
      </w:r>
      <w:r w:rsidR="00340D8F">
        <w:rPr>
          <w:spacing w:val="-4"/>
          <w:szCs w:val="24"/>
        </w:rPr>
        <w:t xml:space="preserve"> </w:t>
      </w:r>
      <w:r w:rsidR="00474B0E" w:rsidRPr="00360CA2">
        <w:rPr>
          <w:spacing w:val="-4"/>
          <w:szCs w:val="24"/>
        </w:rPr>
        <w:t>%). Mezi nejčastějšími příčinami vyřazení dojnic existují rozdíly mezi plemeny. Největší rozdíly byly u vyřazení z důvodu nemocí a nízké užitkovosti. U podniků s chovem krav plemene C bylo z důvodu nemoci vyřazeno méně dojnic (9,5 % vůči 14,1 %) a kvůli nízké produkci mléka bylo u těchto podniků vyřazeno 18,1 % dojnic (na rozdíl od 11,7 % u</w:t>
      </w:r>
      <w:r>
        <w:rPr>
          <w:spacing w:val="-4"/>
          <w:szCs w:val="24"/>
        </w:rPr>
        <w:t> </w:t>
      </w:r>
      <w:r w:rsidR="00474B0E" w:rsidRPr="00360CA2">
        <w:rPr>
          <w:spacing w:val="-4"/>
          <w:szCs w:val="24"/>
        </w:rPr>
        <w:t>podniků s dojnicemi plemene H).</w:t>
      </w:r>
    </w:p>
    <w:p w:rsidR="00360CA2" w:rsidRPr="00360CA2" w:rsidRDefault="00360CA2" w:rsidP="00F72F07">
      <w:pPr>
        <w:rPr>
          <w:spacing w:val="-4"/>
          <w:szCs w:val="24"/>
        </w:rPr>
        <w:sectPr w:rsidR="00360CA2" w:rsidRPr="00360CA2" w:rsidSect="001A30E1">
          <w:type w:val="continuous"/>
          <w:pgSz w:w="11906" w:h="16838" w:code="9"/>
          <w:pgMar w:top="1134" w:right="964" w:bottom="1134" w:left="964" w:header="680" w:footer="624" w:gutter="0"/>
          <w:cols w:num="2" w:space="454"/>
          <w:docGrid w:linePitch="360"/>
        </w:sectPr>
      </w:pPr>
    </w:p>
    <w:p w:rsidR="00474B0E" w:rsidRPr="008C69C1" w:rsidRDefault="00474B0E" w:rsidP="00F72F07">
      <w:pPr>
        <w:spacing w:before="0"/>
        <w:rPr>
          <w:szCs w:val="24"/>
        </w:rPr>
      </w:pPr>
    </w:p>
    <w:p w:rsidR="00474B0E" w:rsidRDefault="00474B0E" w:rsidP="00322234">
      <w:pPr>
        <w:pStyle w:val="Nadpis3"/>
      </w:pPr>
      <w:r>
        <w:t xml:space="preserve">Tabulka </w:t>
      </w:r>
      <w:r>
        <w:fldChar w:fldCharType="begin"/>
      </w:r>
      <w:r>
        <w:instrText xml:space="preserve"> SEQ Tabulka \* ARABIC </w:instrText>
      </w:r>
      <w:r>
        <w:fldChar w:fldCharType="separate"/>
      </w:r>
      <w:r w:rsidR="00BA5EE3">
        <w:rPr>
          <w:noProof/>
        </w:rPr>
        <w:t>2</w:t>
      </w:r>
      <w:r>
        <w:rPr>
          <w:noProof/>
        </w:rPr>
        <w:fldChar w:fldCharType="end"/>
      </w:r>
      <w:r>
        <w:t>: Vývoj vybraných výrobních ukazatelů u souboru podniků v ČR</w:t>
      </w:r>
    </w:p>
    <w:tbl>
      <w:tblPr>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0" w:type="dxa"/>
          <w:right w:w="0" w:type="dxa"/>
        </w:tblCellMar>
        <w:tblLook w:val="04A0" w:firstRow="1" w:lastRow="0" w:firstColumn="1" w:lastColumn="0" w:noHBand="0" w:noVBand="1"/>
      </w:tblPr>
      <w:tblGrid>
        <w:gridCol w:w="3178"/>
        <w:gridCol w:w="675"/>
        <w:gridCol w:w="895"/>
        <w:gridCol w:w="895"/>
        <w:gridCol w:w="895"/>
        <w:gridCol w:w="896"/>
        <w:gridCol w:w="894"/>
        <w:gridCol w:w="894"/>
        <w:gridCol w:w="896"/>
      </w:tblGrid>
      <w:tr w:rsidR="00474B0E" w:rsidRPr="00583892" w:rsidTr="00C4360A">
        <w:trPr>
          <w:trHeight w:val="57"/>
        </w:trPr>
        <w:tc>
          <w:tcPr>
            <w:tcW w:w="1569"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položka</w:t>
            </w:r>
          </w:p>
        </w:tc>
        <w:tc>
          <w:tcPr>
            <w:tcW w:w="33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jedn.</w:t>
            </w:r>
          </w:p>
        </w:tc>
        <w:tc>
          <w:tcPr>
            <w:tcW w:w="442"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2006</w:t>
            </w:r>
          </w:p>
        </w:tc>
        <w:tc>
          <w:tcPr>
            <w:tcW w:w="442"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2008</w:t>
            </w:r>
          </w:p>
        </w:tc>
        <w:tc>
          <w:tcPr>
            <w:tcW w:w="442"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2010</w:t>
            </w:r>
          </w:p>
        </w:tc>
        <w:tc>
          <w:tcPr>
            <w:tcW w:w="443"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2012</w:t>
            </w:r>
          </w:p>
        </w:tc>
        <w:tc>
          <w:tcPr>
            <w:tcW w:w="442"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2014</w:t>
            </w:r>
          </w:p>
        </w:tc>
        <w:tc>
          <w:tcPr>
            <w:tcW w:w="442"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2015</w:t>
            </w:r>
          </w:p>
        </w:tc>
        <w:tc>
          <w:tcPr>
            <w:tcW w:w="443"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bCs/>
                <w:szCs w:val="24"/>
              </w:rPr>
              <w:t>2016</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počet podniků</w:t>
            </w:r>
          </w:p>
        </w:tc>
        <w:tc>
          <w:tcPr>
            <w:tcW w:w="333" w:type="pct"/>
            <w:vMerge w:val="restart"/>
            <w:shd w:val="clear" w:color="auto" w:fill="auto"/>
            <w:tcMar>
              <w:top w:w="15" w:type="dxa"/>
              <w:left w:w="70" w:type="dxa"/>
              <w:bottom w:w="0" w:type="dxa"/>
              <w:right w:w="70" w:type="dxa"/>
            </w:tcMar>
            <w:vAlign w:val="center"/>
            <w:hideMark/>
          </w:tcPr>
          <w:p w:rsidR="00474B0E" w:rsidRPr="00583892" w:rsidRDefault="00474B0E" w:rsidP="00C4360A">
            <w:pPr>
              <w:spacing w:before="40" w:line="240" w:lineRule="auto"/>
              <w:jc w:val="center"/>
              <w:rPr>
                <w:szCs w:val="24"/>
              </w:rPr>
            </w:pPr>
            <w:r w:rsidRPr="00583892">
              <w:rPr>
                <w:szCs w:val="24"/>
              </w:rPr>
              <w:t>n</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19</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48</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55</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62</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80</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88</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103</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počet dojnic</w:t>
            </w:r>
          </w:p>
        </w:tc>
        <w:tc>
          <w:tcPr>
            <w:tcW w:w="333" w:type="pct"/>
            <w:vMerge/>
            <w:shd w:val="clear" w:color="auto" w:fill="auto"/>
            <w:vAlign w:val="center"/>
            <w:hideMark/>
          </w:tcPr>
          <w:p w:rsidR="00474B0E" w:rsidRPr="00583892" w:rsidRDefault="00474B0E" w:rsidP="00C4360A">
            <w:pPr>
              <w:spacing w:before="40" w:line="240" w:lineRule="auto"/>
              <w:jc w:val="center"/>
              <w:rPr>
                <w:szCs w:val="24"/>
              </w:rPr>
            </w:pP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688</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611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623</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571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582</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577</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589</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počet dojnic na ošetřovatele</w:t>
            </w:r>
          </w:p>
        </w:tc>
        <w:tc>
          <w:tcPr>
            <w:tcW w:w="333" w:type="pct"/>
            <w:vMerge/>
            <w:shd w:val="clear" w:color="auto" w:fill="auto"/>
            <w:vAlign w:val="center"/>
            <w:hideMark/>
          </w:tcPr>
          <w:p w:rsidR="00474B0E" w:rsidRPr="00583892" w:rsidRDefault="00474B0E" w:rsidP="00C4360A">
            <w:pPr>
              <w:spacing w:before="40" w:line="240" w:lineRule="auto"/>
              <w:jc w:val="center"/>
              <w:rPr>
                <w:szCs w:val="24"/>
              </w:rPr>
            </w:pP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49</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48</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52</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51</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49</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dojivost</w:t>
            </w:r>
          </w:p>
        </w:tc>
        <w:tc>
          <w:tcPr>
            <w:tcW w:w="333" w:type="pct"/>
            <w:shd w:val="clear" w:color="auto" w:fill="auto"/>
            <w:tcMar>
              <w:top w:w="15" w:type="dxa"/>
              <w:left w:w="70" w:type="dxa"/>
              <w:bottom w:w="0" w:type="dxa"/>
              <w:right w:w="70" w:type="dxa"/>
            </w:tcMar>
            <w:vAlign w:val="center"/>
            <w:hideMark/>
          </w:tcPr>
          <w:p w:rsidR="00474B0E" w:rsidRPr="00583892" w:rsidRDefault="00474B0E" w:rsidP="00C4360A">
            <w:pPr>
              <w:spacing w:before="40" w:line="240" w:lineRule="auto"/>
              <w:jc w:val="center"/>
              <w:rPr>
                <w:szCs w:val="24"/>
              </w:rPr>
            </w:pPr>
            <w:r w:rsidRPr="00583892">
              <w:rPr>
                <w:szCs w:val="24"/>
              </w:rPr>
              <w:t>l/rok</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7 146</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7 662</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7 666</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7 921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8 113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8 334</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8 508</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obsah bílkovin</w:t>
            </w:r>
          </w:p>
        </w:tc>
        <w:tc>
          <w:tcPr>
            <w:tcW w:w="333" w:type="pct"/>
            <w:vMerge w:val="restart"/>
            <w:shd w:val="clear" w:color="auto" w:fill="auto"/>
            <w:tcMar>
              <w:top w:w="15" w:type="dxa"/>
              <w:left w:w="70" w:type="dxa"/>
              <w:bottom w:w="0" w:type="dxa"/>
              <w:right w:w="70" w:type="dxa"/>
            </w:tcMar>
            <w:vAlign w:val="center"/>
            <w:hideMark/>
          </w:tcPr>
          <w:p w:rsidR="00474B0E" w:rsidRPr="00583892" w:rsidRDefault="00474B0E" w:rsidP="00C4360A">
            <w:pPr>
              <w:spacing w:before="40" w:line="240" w:lineRule="auto"/>
              <w:jc w:val="center"/>
              <w:rPr>
                <w:szCs w:val="24"/>
              </w:rPr>
            </w:pPr>
            <w:r w:rsidRPr="00583892">
              <w:rPr>
                <w:szCs w:val="24"/>
              </w:rPr>
              <w:t>%</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3,37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3,37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3,41</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3,43</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3,47</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obsah tuku</w:t>
            </w:r>
          </w:p>
        </w:tc>
        <w:tc>
          <w:tcPr>
            <w:tcW w:w="333" w:type="pct"/>
            <w:vMerge/>
            <w:shd w:val="clear" w:color="auto" w:fill="auto"/>
            <w:vAlign w:val="center"/>
            <w:hideMark/>
          </w:tcPr>
          <w:p w:rsidR="00474B0E" w:rsidRPr="00583892" w:rsidRDefault="00474B0E" w:rsidP="00C4360A">
            <w:pPr>
              <w:spacing w:before="40" w:line="240" w:lineRule="auto"/>
              <w:jc w:val="center"/>
              <w:rPr>
                <w:szCs w:val="24"/>
              </w:rPr>
            </w:pP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3,89</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3,83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3,93</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3,90</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3,90</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3,89</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3,95</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center"/>
            <w:hideMark/>
          </w:tcPr>
          <w:p w:rsidR="00474B0E" w:rsidRPr="00583892" w:rsidRDefault="00474B0E" w:rsidP="00C4360A">
            <w:pPr>
              <w:spacing w:before="40" w:line="240" w:lineRule="auto"/>
              <w:rPr>
                <w:szCs w:val="24"/>
              </w:rPr>
            </w:pPr>
            <w:r w:rsidRPr="00583892">
              <w:rPr>
                <w:bCs/>
                <w:szCs w:val="24"/>
              </w:rPr>
              <w:t>délka mezidobí</w:t>
            </w:r>
          </w:p>
        </w:tc>
        <w:tc>
          <w:tcPr>
            <w:tcW w:w="333" w:type="pct"/>
            <w:vMerge w:val="restart"/>
            <w:shd w:val="clear" w:color="auto" w:fill="auto"/>
            <w:tcMar>
              <w:top w:w="15" w:type="dxa"/>
              <w:left w:w="70" w:type="dxa"/>
              <w:bottom w:w="0" w:type="dxa"/>
              <w:right w:w="70" w:type="dxa"/>
            </w:tcMar>
            <w:vAlign w:val="center"/>
            <w:hideMark/>
          </w:tcPr>
          <w:p w:rsidR="00474B0E" w:rsidRPr="00583892" w:rsidRDefault="00474B0E" w:rsidP="00C4360A">
            <w:pPr>
              <w:spacing w:before="40" w:line="240" w:lineRule="auto"/>
              <w:jc w:val="center"/>
              <w:rPr>
                <w:szCs w:val="24"/>
              </w:rPr>
            </w:pPr>
            <w:r w:rsidRPr="00583892">
              <w:rPr>
                <w:szCs w:val="24"/>
              </w:rPr>
              <w:t>dny</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409</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401</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406</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403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399</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398</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center"/>
            <w:hideMark/>
          </w:tcPr>
          <w:p w:rsidR="00474B0E" w:rsidRPr="00583892" w:rsidRDefault="00474B0E" w:rsidP="00C4360A">
            <w:pPr>
              <w:spacing w:before="40" w:line="240" w:lineRule="auto"/>
              <w:rPr>
                <w:szCs w:val="24"/>
              </w:rPr>
            </w:pPr>
            <w:r w:rsidRPr="00583892">
              <w:rPr>
                <w:bCs/>
                <w:szCs w:val="24"/>
              </w:rPr>
              <w:t>délka servis periody</w:t>
            </w:r>
          </w:p>
        </w:tc>
        <w:tc>
          <w:tcPr>
            <w:tcW w:w="333" w:type="pct"/>
            <w:vMerge/>
            <w:shd w:val="clear" w:color="auto" w:fill="auto"/>
            <w:vAlign w:val="center"/>
            <w:hideMark/>
          </w:tcPr>
          <w:p w:rsidR="00474B0E" w:rsidRPr="00583892" w:rsidRDefault="00474B0E" w:rsidP="00C4360A">
            <w:pPr>
              <w:spacing w:before="40" w:line="240" w:lineRule="auto"/>
              <w:jc w:val="center"/>
              <w:rPr>
                <w:szCs w:val="24"/>
              </w:rPr>
            </w:pP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127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127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122</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121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119</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116</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114</w:t>
            </w:r>
          </w:p>
        </w:tc>
      </w:tr>
      <w:tr w:rsidR="00474B0E" w:rsidRPr="00583892" w:rsidTr="00C4360A">
        <w:trPr>
          <w:trHeight w:val="57"/>
        </w:trPr>
        <w:tc>
          <w:tcPr>
            <w:tcW w:w="1569" w:type="pct"/>
            <w:shd w:val="clear" w:color="auto" w:fill="DBE5F1" w:themeFill="accent1" w:themeFillTint="33"/>
            <w:tcMar>
              <w:top w:w="15" w:type="dxa"/>
              <w:left w:w="70" w:type="dxa"/>
              <w:bottom w:w="0" w:type="dxa"/>
              <w:right w:w="70" w:type="dxa"/>
            </w:tcMar>
            <w:vAlign w:val="bottom"/>
            <w:hideMark/>
          </w:tcPr>
          <w:p w:rsidR="00474B0E" w:rsidRPr="00583892" w:rsidRDefault="00474B0E" w:rsidP="00C4360A">
            <w:pPr>
              <w:spacing w:before="40" w:line="240" w:lineRule="auto"/>
              <w:rPr>
                <w:szCs w:val="24"/>
              </w:rPr>
            </w:pPr>
            <w:r w:rsidRPr="00583892">
              <w:rPr>
                <w:bCs/>
                <w:szCs w:val="24"/>
              </w:rPr>
              <w:t>obměna stáda</w:t>
            </w:r>
          </w:p>
        </w:tc>
        <w:tc>
          <w:tcPr>
            <w:tcW w:w="33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35,3</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28,5</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33,8</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34,1</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31,7</w:t>
            </w:r>
          </w:p>
        </w:tc>
        <w:tc>
          <w:tcPr>
            <w:tcW w:w="442"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33,9</w:t>
            </w:r>
          </w:p>
        </w:tc>
        <w:tc>
          <w:tcPr>
            <w:tcW w:w="443" w:type="pct"/>
            <w:shd w:val="clear" w:color="auto" w:fill="auto"/>
            <w:tcMar>
              <w:top w:w="15" w:type="dxa"/>
              <w:left w:w="70" w:type="dxa"/>
              <w:bottom w:w="0" w:type="dxa"/>
              <w:right w:w="70" w:type="dxa"/>
            </w:tcMar>
            <w:vAlign w:val="bottom"/>
            <w:hideMark/>
          </w:tcPr>
          <w:p w:rsidR="00474B0E" w:rsidRPr="00583892" w:rsidRDefault="00474B0E" w:rsidP="00C4360A">
            <w:pPr>
              <w:spacing w:before="40" w:line="240" w:lineRule="auto"/>
              <w:jc w:val="center"/>
              <w:rPr>
                <w:szCs w:val="24"/>
              </w:rPr>
            </w:pPr>
            <w:r w:rsidRPr="00583892">
              <w:rPr>
                <w:szCs w:val="24"/>
              </w:rPr>
              <w:t>35,4</w:t>
            </w:r>
          </w:p>
        </w:tc>
      </w:tr>
    </w:tbl>
    <w:p w:rsidR="00474B0E" w:rsidRDefault="00474B0E" w:rsidP="00474B0E">
      <w:pPr>
        <w:rPr>
          <w:szCs w:val="24"/>
        </w:rPr>
      </w:pPr>
      <w:r w:rsidRPr="00CF53C7">
        <w:t>Z vývoje výrobních ukazatelů je patrné, že v letech hodnocení se snížil počet dojnic v jednom podniku a zvýšil se ukazatel počtu dojnic na ošetřovatele. Příčinou je snížení počtu ošetřovatelů v</w:t>
      </w:r>
      <w:r>
        <w:t> </w:t>
      </w:r>
      <w:r w:rsidRPr="00CF53C7">
        <w:t>podniku</w:t>
      </w:r>
      <w:r>
        <w:t xml:space="preserve">. Snížení počtu ošetřovatelů společně s růstem dojivosti (v letech 2006 až 2016 zvýšení dojivosti o 1 362 litrů a 19 %) zlepšilo v letech hodnocení ukazatel prodaného mléka na ošetřovatele. </w:t>
      </w:r>
      <w:r>
        <w:rPr>
          <w:szCs w:val="24"/>
        </w:rPr>
        <w:t>P</w:t>
      </w:r>
      <w:r w:rsidRPr="00E30799">
        <w:rPr>
          <w:szCs w:val="24"/>
        </w:rPr>
        <w:t>rodej mléka na j</w:t>
      </w:r>
      <w:r>
        <w:rPr>
          <w:szCs w:val="24"/>
        </w:rPr>
        <w:t xml:space="preserve">ednoho ošetřovatele </w:t>
      </w:r>
      <w:r w:rsidRPr="00E30799">
        <w:rPr>
          <w:szCs w:val="24"/>
        </w:rPr>
        <w:t xml:space="preserve">činil </w:t>
      </w:r>
      <w:r>
        <w:rPr>
          <w:szCs w:val="24"/>
        </w:rPr>
        <w:t xml:space="preserve">v roce 2016 </w:t>
      </w:r>
      <w:r w:rsidRPr="00E30799">
        <w:rPr>
          <w:szCs w:val="24"/>
        </w:rPr>
        <w:t>v průměru 400 tis. litrů</w:t>
      </w:r>
      <w:r>
        <w:rPr>
          <w:szCs w:val="24"/>
        </w:rPr>
        <w:t xml:space="preserve">, tj. o 143 tis. litrů na ošetřovatele více než za rok 2006. </w:t>
      </w:r>
    </w:p>
    <w:p w:rsidR="00474B0E" w:rsidRDefault="00474B0E" w:rsidP="00340D8F">
      <w:pPr>
        <w:rPr>
          <w:szCs w:val="24"/>
        </w:rPr>
      </w:pPr>
      <w:r w:rsidRPr="007C299A">
        <w:rPr>
          <w:szCs w:val="24"/>
        </w:rPr>
        <w:t>Počet somatických buněk (PSB)</w:t>
      </w:r>
      <w:r w:rsidRPr="00FE32CE">
        <w:rPr>
          <w:b/>
          <w:szCs w:val="24"/>
        </w:rPr>
        <w:t xml:space="preserve"> </w:t>
      </w:r>
      <w:r w:rsidRPr="00D612BF">
        <w:rPr>
          <w:szCs w:val="24"/>
        </w:rPr>
        <w:t>byl</w:t>
      </w:r>
      <w:r w:rsidRPr="00FE32CE">
        <w:rPr>
          <w:b/>
          <w:szCs w:val="24"/>
        </w:rPr>
        <w:t xml:space="preserve"> </w:t>
      </w:r>
      <w:r w:rsidRPr="00FE32CE">
        <w:rPr>
          <w:szCs w:val="24"/>
        </w:rPr>
        <w:t>v</w:t>
      </w:r>
      <w:r>
        <w:rPr>
          <w:szCs w:val="24"/>
        </w:rPr>
        <w:t> </w:t>
      </w:r>
      <w:r w:rsidRPr="00FE32CE">
        <w:rPr>
          <w:szCs w:val="24"/>
        </w:rPr>
        <w:t>průměru</w:t>
      </w:r>
      <w:r>
        <w:rPr>
          <w:szCs w:val="24"/>
        </w:rPr>
        <w:t xml:space="preserve"> u hodnocených podniků</w:t>
      </w:r>
      <w:r w:rsidRPr="00FE32CE">
        <w:rPr>
          <w:szCs w:val="24"/>
        </w:rPr>
        <w:t xml:space="preserve"> za rok 2016 ve výši 209</w:t>
      </w:r>
      <w:r>
        <w:rPr>
          <w:szCs w:val="24"/>
        </w:rPr>
        <w:t xml:space="preserve"> tis./ml.. V</w:t>
      </w:r>
      <w:r w:rsidRPr="00FE32CE">
        <w:rPr>
          <w:szCs w:val="24"/>
        </w:rPr>
        <w:t>yšší počet dosahovaly podniky chovem plemene H</w:t>
      </w:r>
      <w:r>
        <w:rPr>
          <w:szCs w:val="24"/>
        </w:rPr>
        <w:t xml:space="preserve"> (217 tis./ml. oproti 203 tis./ml u chovů s plemenem C)</w:t>
      </w:r>
      <w:r w:rsidRPr="00FE32CE">
        <w:rPr>
          <w:szCs w:val="24"/>
        </w:rPr>
        <w:t>. Od roku 2012, kdy byl PSB 250 tis./ml., došlo ke snížení u souboru podniků o 16 %. Na zlepšení ukazuje i fakt, že</w:t>
      </w:r>
      <w:r>
        <w:rPr>
          <w:szCs w:val="24"/>
        </w:rPr>
        <w:t xml:space="preserve"> </w:t>
      </w:r>
      <w:r w:rsidRPr="00FE32CE">
        <w:rPr>
          <w:szCs w:val="24"/>
        </w:rPr>
        <w:t xml:space="preserve">28 % podniků v roce 2012 mělo PSB vyšší jak 300 tis./ml, v letech 2013 až 2015 to bylo 16, 13 a 8 % a za rok 2016 vykázalo PSB nad 300 tis./ml. jen 6 % podniků. V ČR se dle výsledků jakosti nakupovaného mléka PSB snížil z 266 tis./ml. </w:t>
      </w:r>
      <w:r>
        <w:rPr>
          <w:szCs w:val="24"/>
        </w:rPr>
        <w:t xml:space="preserve">v roce </w:t>
      </w:r>
      <w:r w:rsidRPr="00FE32CE">
        <w:rPr>
          <w:szCs w:val="24"/>
        </w:rPr>
        <w:t>2007 na 223 tis./ml. za rok 2016</w:t>
      </w:r>
      <w:r>
        <w:rPr>
          <w:szCs w:val="24"/>
        </w:rPr>
        <w:t xml:space="preserve"> (ČMSCH, 2017)</w:t>
      </w:r>
      <w:r w:rsidRPr="00FE32CE">
        <w:rPr>
          <w:szCs w:val="24"/>
        </w:rPr>
        <w:t>.</w:t>
      </w:r>
    </w:p>
    <w:p w:rsidR="00474B0E" w:rsidRDefault="00474B0E" w:rsidP="00340D8F">
      <w:pPr>
        <w:rPr>
          <w:szCs w:val="24"/>
        </w:rPr>
      </w:pPr>
      <w:r w:rsidRPr="008C69C1">
        <w:rPr>
          <w:szCs w:val="24"/>
        </w:rPr>
        <w:t xml:space="preserve">V souboru podniků s chovem dojených krav v ČR dosáhly za rok 2016 celkové </w:t>
      </w:r>
      <w:r w:rsidRPr="007C299A">
        <w:rPr>
          <w:szCs w:val="24"/>
        </w:rPr>
        <w:t>náklady 8,88 Kč na litr prodaného mléka, 202 Kč na krmný den</w:t>
      </w:r>
      <w:r>
        <w:rPr>
          <w:szCs w:val="24"/>
        </w:rPr>
        <w:t xml:space="preserve"> (KD)</w:t>
      </w:r>
      <w:r w:rsidRPr="007C299A">
        <w:rPr>
          <w:szCs w:val="24"/>
        </w:rPr>
        <w:t xml:space="preserve"> a 73,6 tis. Kč na dojnici (tabulka 3). Ve srovnání se souborem podniků za rok 2015 byly náklady na krávu mírně vyšší (o 997 K</w:t>
      </w:r>
      <w:r>
        <w:rPr>
          <w:szCs w:val="24"/>
        </w:rPr>
        <w:t xml:space="preserve">č), ale vlivem větší dojivosti </w:t>
      </w:r>
      <w:r w:rsidRPr="007C299A">
        <w:rPr>
          <w:szCs w:val="24"/>
        </w:rPr>
        <w:t>byly náklady na litr nižší o 0,11 Kč.</w:t>
      </w:r>
      <w:bookmarkStart w:id="26" w:name="_Toc377718708"/>
      <w:r w:rsidRPr="007C299A">
        <w:rPr>
          <w:szCs w:val="24"/>
        </w:rPr>
        <w:t xml:space="preserve"> Krmiva </w:t>
      </w:r>
      <w:r>
        <w:rPr>
          <w:szCs w:val="24"/>
        </w:rPr>
        <w:t xml:space="preserve">(43 %) </w:t>
      </w:r>
      <w:r w:rsidRPr="007C299A">
        <w:rPr>
          <w:szCs w:val="24"/>
        </w:rPr>
        <w:t>spolu s pracovními náklady</w:t>
      </w:r>
      <w:r>
        <w:rPr>
          <w:szCs w:val="24"/>
        </w:rPr>
        <w:t xml:space="preserve"> (14 %), odpisy majetku a krav</w:t>
      </w:r>
      <w:r w:rsidRPr="007C299A">
        <w:rPr>
          <w:szCs w:val="24"/>
        </w:rPr>
        <w:t xml:space="preserve"> a režiemi tvoří až 82 % ročních nákladů chovu.</w:t>
      </w:r>
      <w:r>
        <w:rPr>
          <w:szCs w:val="24"/>
        </w:rPr>
        <w:t xml:space="preserve"> V krmivech byla nejvíce zastoupená krmiva jadrná.</w:t>
      </w:r>
    </w:p>
    <w:bookmarkEnd w:id="26"/>
    <w:p w:rsidR="00474B0E" w:rsidRDefault="00474B0E" w:rsidP="00322234">
      <w:pPr>
        <w:pStyle w:val="Nadpis3"/>
      </w:pPr>
      <w:r>
        <w:lastRenderedPageBreak/>
        <w:t xml:space="preserve">Tabulka </w:t>
      </w:r>
      <w:r>
        <w:fldChar w:fldCharType="begin"/>
      </w:r>
      <w:r>
        <w:instrText xml:space="preserve"> SEQ Tabulka \* ARABIC </w:instrText>
      </w:r>
      <w:r>
        <w:fldChar w:fldCharType="separate"/>
      </w:r>
      <w:r w:rsidR="00BA5EE3">
        <w:rPr>
          <w:noProof/>
        </w:rPr>
        <w:t>3</w:t>
      </w:r>
      <w:r>
        <w:rPr>
          <w:noProof/>
        </w:rPr>
        <w:fldChar w:fldCharType="end"/>
      </w:r>
      <w:r>
        <w:t>:</w:t>
      </w:r>
      <w:r w:rsidRPr="007C299A">
        <w:t xml:space="preserve"> Průměrné náklady výroby mléka u souboru podniků v roce 2016 (v Kč)</w:t>
      </w:r>
    </w:p>
    <w:tbl>
      <w:tblPr>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70" w:type="dxa"/>
          <w:right w:w="70" w:type="dxa"/>
        </w:tblCellMar>
        <w:tblLook w:val="04A0" w:firstRow="1" w:lastRow="0" w:firstColumn="1" w:lastColumn="0" w:noHBand="0" w:noVBand="1"/>
      </w:tblPr>
      <w:tblGrid>
        <w:gridCol w:w="4437"/>
        <w:gridCol w:w="2024"/>
        <w:gridCol w:w="1868"/>
        <w:gridCol w:w="1789"/>
      </w:tblGrid>
      <w:tr w:rsidR="00474B0E" w:rsidRPr="00583892" w:rsidTr="00934C81">
        <w:trPr>
          <w:trHeight w:val="255"/>
        </w:trPr>
        <w:tc>
          <w:tcPr>
            <w:tcW w:w="2193" w:type="pct"/>
            <w:shd w:val="clear" w:color="auto" w:fill="auto"/>
            <w:noWrap/>
            <w:vAlign w:val="center"/>
          </w:tcPr>
          <w:p w:rsidR="00474B0E" w:rsidRPr="00934C81" w:rsidRDefault="00474B0E" w:rsidP="00934C81">
            <w:pPr>
              <w:spacing w:before="40" w:line="240" w:lineRule="auto"/>
              <w:jc w:val="left"/>
              <w:rPr>
                <w:bCs/>
              </w:rPr>
            </w:pPr>
            <w:r w:rsidRPr="00934C81">
              <w:rPr>
                <w:bCs/>
              </w:rPr>
              <w:t>ukazatel</w:t>
            </w:r>
          </w:p>
        </w:tc>
        <w:tc>
          <w:tcPr>
            <w:tcW w:w="1000" w:type="pct"/>
            <w:shd w:val="clear" w:color="auto" w:fill="DBE5F1" w:themeFill="accent1" w:themeFillTint="33"/>
            <w:noWrap/>
            <w:vAlign w:val="center"/>
          </w:tcPr>
          <w:p w:rsidR="00474B0E" w:rsidRPr="00AD5133" w:rsidRDefault="00474B0E" w:rsidP="00934C81">
            <w:pPr>
              <w:spacing w:before="40" w:line="240" w:lineRule="auto"/>
              <w:jc w:val="center"/>
              <w:rPr>
                <w:bCs/>
              </w:rPr>
            </w:pPr>
            <w:r w:rsidRPr="00AD5133">
              <w:rPr>
                <w:bCs/>
              </w:rPr>
              <w:t>na krávu a rok</w:t>
            </w:r>
          </w:p>
        </w:tc>
        <w:tc>
          <w:tcPr>
            <w:tcW w:w="923" w:type="pct"/>
            <w:shd w:val="clear" w:color="auto" w:fill="DBE5F1" w:themeFill="accent1" w:themeFillTint="33"/>
            <w:noWrap/>
            <w:vAlign w:val="center"/>
          </w:tcPr>
          <w:p w:rsidR="00474B0E" w:rsidRPr="00AD5133" w:rsidRDefault="00474B0E" w:rsidP="00934C81">
            <w:pPr>
              <w:spacing w:before="40" w:line="240" w:lineRule="auto"/>
              <w:jc w:val="center"/>
              <w:rPr>
                <w:bCs/>
              </w:rPr>
            </w:pPr>
            <w:r w:rsidRPr="00AD5133">
              <w:rPr>
                <w:bCs/>
              </w:rPr>
              <w:t>na krmný den</w:t>
            </w:r>
          </w:p>
        </w:tc>
        <w:tc>
          <w:tcPr>
            <w:tcW w:w="884" w:type="pct"/>
            <w:shd w:val="clear" w:color="auto" w:fill="DBE5F1" w:themeFill="accent1" w:themeFillTint="33"/>
            <w:noWrap/>
            <w:vAlign w:val="center"/>
          </w:tcPr>
          <w:p w:rsidR="00474B0E" w:rsidRPr="00AD5133" w:rsidRDefault="00474B0E" w:rsidP="00934C81">
            <w:pPr>
              <w:spacing w:before="40" w:line="240" w:lineRule="auto"/>
              <w:jc w:val="center"/>
              <w:rPr>
                <w:bCs/>
              </w:rPr>
            </w:pPr>
            <w:r w:rsidRPr="00AD5133">
              <w:rPr>
                <w:bCs/>
              </w:rPr>
              <w:t>na litr mléka</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krmiva jadrná</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15 961</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43,73</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1,93</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krmiva objemná</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10 693</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29,30</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1,29</w:t>
            </w:r>
          </w:p>
        </w:tc>
      </w:tr>
      <w:tr w:rsidR="00474B0E" w:rsidRPr="00583892" w:rsidTr="00934C81">
        <w:trPr>
          <w:trHeight w:val="270"/>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ostatní krmiva a steliva</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4 937</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13,52</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0,60</w:t>
            </w:r>
          </w:p>
        </w:tc>
      </w:tr>
      <w:tr w:rsidR="00474B0E" w:rsidRPr="00583892" w:rsidTr="00934C81">
        <w:trPr>
          <w:trHeight w:val="270"/>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krmiva a steliva celkem</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31 591</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86,55</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3,81</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pracovní náklady</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9 969</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27,31</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1,20</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odpisy krav</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7 249</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19,86</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0,88</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odpisy majetku</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3 293</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9,02</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0,40</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veterinární výkony + léky a desinfekce</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2 806</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7,69</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0,34</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opravy a udržování</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1 722</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4,72</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0,21</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energie</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1 676</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4,59</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0,20</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plemenářské výkony a inseminace</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1 434</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3,93</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0,17</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pojištění majetku a krav</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423</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1,16</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0,05</w:t>
            </w:r>
          </w:p>
        </w:tc>
      </w:tr>
      <w:tr w:rsidR="00474B0E" w:rsidRPr="00583892" w:rsidTr="00934C81">
        <w:trPr>
          <w:trHeight w:val="270"/>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režie</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8 456</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23,17</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1,02</w:t>
            </w:r>
          </w:p>
        </w:tc>
      </w:tr>
      <w:tr w:rsidR="00474B0E" w:rsidRPr="00583892" w:rsidTr="00934C81">
        <w:trPr>
          <w:trHeight w:val="255"/>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pPr>
            <w:r w:rsidRPr="00583892">
              <w:t>ostatní náklady</w:t>
            </w:r>
          </w:p>
        </w:tc>
        <w:tc>
          <w:tcPr>
            <w:tcW w:w="1000" w:type="pct"/>
            <w:shd w:val="clear" w:color="auto" w:fill="auto"/>
            <w:noWrap/>
            <w:vAlign w:val="center"/>
            <w:hideMark/>
          </w:tcPr>
          <w:p w:rsidR="00474B0E" w:rsidRPr="00583892" w:rsidRDefault="00474B0E" w:rsidP="00934C81">
            <w:pPr>
              <w:spacing w:before="40" w:line="240" w:lineRule="auto"/>
              <w:jc w:val="center"/>
            </w:pPr>
            <w:r w:rsidRPr="00583892">
              <w:t>4 945</w:t>
            </w:r>
          </w:p>
        </w:tc>
        <w:tc>
          <w:tcPr>
            <w:tcW w:w="923" w:type="pct"/>
            <w:shd w:val="clear" w:color="auto" w:fill="auto"/>
            <w:noWrap/>
            <w:vAlign w:val="center"/>
            <w:hideMark/>
          </w:tcPr>
          <w:p w:rsidR="00474B0E" w:rsidRPr="00583892" w:rsidRDefault="00474B0E" w:rsidP="00934C81">
            <w:pPr>
              <w:spacing w:before="40" w:line="240" w:lineRule="auto"/>
              <w:jc w:val="center"/>
            </w:pPr>
            <w:r w:rsidRPr="00583892">
              <w:t>13,55</w:t>
            </w:r>
          </w:p>
        </w:tc>
        <w:tc>
          <w:tcPr>
            <w:tcW w:w="884" w:type="pct"/>
            <w:shd w:val="clear" w:color="auto" w:fill="auto"/>
            <w:noWrap/>
            <w:vAlign w:val="center"/>
            <w:hideMark/>
          </w:tcPr>
          <w:p w:rsidR="00474B0E" w:rsidRPr="00583892" w:rsidRDefault="00474B0E" w:rsidP="00934C81">
            <w:pPr>
              <w:spacing w:before="40" w:line="240" w:lineRule="auto"/>
              <w:jc w:val="center"/>
            </w:pPr>
            <w:r w:rsidRPr="00583892">
              <w:t>0,60</w:t>
            </w:r>
          </w:p>
        </w:tc>
      </w:tr>
      <w:tr w:rsidR="00474B0E" w:rsidRPr="00583892" w:rsidTr="00934C81">
        <w:trPr>
          <w:trHeight w:val="270"/>
        </w:trPr>
        <w:tc>
          <w:tcPr>
            <w:tcW w:w="2193" w:type="pct"/>
            <w:shd w:val="clear" w:color="auto" w:fill="DBE5F1" w:themeFill="accent1" w:themeFillTint="33"/>
            <w:noWrap/>
            <w:vAlign w:val="center"/>
            <w:hideMark/>
          </w:tcPr>
          <w:p w:rsidR="00474B0E" w:rsidRPr="00583892" w:rsidRDefault="00474B0E" w:rsidP="00934C81">
            <w:pPr>
              <w:spacing w:before="40" w:line="240" w:lineRule="auto"/>
              <w:jc w:val="left"/>
              <w:rPr>
                <w:b/>
                <w:bCs/>
              </w:rPr>
            </w:pPr>
            <w:r w:rsidRPr="00583892">
              <w:rPr>
                <w:b/>
                <w:bCs/>
              </w:rPr>
              <w:t>náklady celkem</w:t>
            </w:r>
          </w:p>
        </w:tc>
        <w:tc>
          <w:tcPr>
            <w:tcW w:w="1000" w:type="pct"/>
            <w:shd w:val="clear" w:color="auto" w:fill="auto"/>
            <w:noWrap/>
            <w:vAlign w:val="center"/>
            <w:hideMark/>
          </w:tcPr>
          <w:p w:rsidR="00474B0E" w:rsidRPr="00583892" w:rsidRDefault="00474B0E" w:rsidP="00934C81">
            <w:pPr>
              <w:spacing w:before="40" w:line="240" w:lineRule="auto"/>
              <w:jc w:val="center"/>
              <w:rPr>
                <w:b/>
                <w:bCs/>
              </w:rPr>
            </w:pPr>
            <w:r w:rsidRPr="00583892">
              <w:rPr>
                <w:b/>
                <w:bCs/>
              </w:rPr>
              <w:t>73 564</w:t>
            </w:r>
          </w:p>
        </w:tc>
        <w:tc>
          <w:tcPr>
            <w:tcW w:w="923" w:type="pct"/>
            <w:shd w:val="clear" w:color="auto" w:fill="auto"/>
            <w:noWrap/>
            <w:vAlign w:val="center"/>
            <w:hideMark/>
          </w:tcPr>
          <w:p w:rsidR="00474B0E" w:rsidRPr="00583892" w:rsidRDefault="00474B0E" w:rsidP="00934C81">
            <w:pPr>
              <w:spacing w:before="40" w:line="240" w:lineRule="auto"/>
              <w:jc w:val="center"/>
              <w:rPr>
                <w:b/>
                <w:bCs/>
              </w:rPr>
            </w:pPr>
            <w:r w:rsidRPr="00583892">
              <w:rPr>
                <w:b/>
                <w:bCs/>
              </w:rPr>
              <w:t>201,54</w:t>
            </w:r>
          </w:p>
        </w:tc>
        <w:tc>
          <w:tcPr>
            <w:tcW w:w="884" w:type="pct"/>
            <w:shd w:val="clear" w:color="auto" w:fill="auto"/>
            <w:noWrap/>
            <w:vAlign w:val="center"/>
            <w:hideMark/>
          </w:tcPr>
          <w:p w:rsidR="00474B0E" w:rsidRPr="00583892" w:rsidRDefault="00474B0E" w:rsidP="00934C81">
            <w:pPr>
              <w:spacing w:before="40" w:line="240" w:lineRule="auto"/>
              <w:jc w:val="center"/>
              <w:rPr>
                <w:b/>
                <w:bCs/>
              </w:rPr>
            </w:pPr>
            <w:r w:rsidRPr="00583892">
              <w:rPr>
                <w:b/>
                <w:bCs/>
              </w:rPr>
              <w:t>8,88</w:t>
            </w:r>
          </w:p>
        </w:tc>
      </w:tr>
    </w:tbl>
    <w:p w:rsidR="00A03D17" w:rsidRPr="00A03D17" w:rsidRDefault="00474B0E" w:rsidP="00A03D17">
      <w:pPr>
        <w:spacing w:before="240" w:after="120"/>
        <w:rPr>
          <w:spacing w:val="-4"/>
        </w:rPr>
      </w:pPr>
      <w:r w:rsidRPr="00A03D17">
        <w:rPr>
          <w:spacing w:val="-4"/>
        </w:rPr>
        <w:t>U podniků, které chovaly dojnice plemene C, činily celkové náklady 63,9 tis. Kč, což je oproti skupině podniků s chovem krav plemene H (78,8 tis. Kč) nižší úroveň. Při přepočtu nákladů na litr mléka vychází však náklady celkem u dojnic plemene C vyšší (9,17 oproti 8,72 Kč/l), což bylo způsobeno nižší užitkovostí. Rozdílnost nákladů na litr mléka dle chovaného plemena je patrná také v dílčích nákladech, především u krmiv, odpisů majetku a režií.</w:t>
      </w:r>
    </w:p>
    <w:p w:rsidR="00A03D17" w:rsidRDefault="00A03D17" w:rsidP="009A492E">
      <w:pPr>
        <w:sectPr w:rsidR="00A03D17" w:rsidSect="001A30E1">
          <w:type w:val="continuous"/>
          <w:pgSz w:w="11906" w:h="16838" w:code="9"/>
          <w:pgMar w:top="1134" w:right="964" w:bottom="1134" w:left="964" w:header="680" w:footer="624" w:gutter="0"/>
          <w:cols w:space="708"/>
          <w:docGrid w:linePitch="360"/>
        </w:sectPr>
      </w:pPr>
    </w:p>
    <w:p w:rsidR="00474B0E" w:rsidRPr="00A03D17" w:rsidRDefault="00474B0E" w:rsidP="009A492E">
      <w:pPr>
        <w:rPr>
          <w:spacing w:val="-4"/>
        </w:rPr>
      </w:pPr>
      <w:r w:rsidRPr="00A03D17">
        <w:rPr>
          <w:spacing w:val="-2"/>
        </w:rPr>
        <w:lastRenderedPageBreak/>
        <w:t xml:space="preserve">Užitkovost dojnic je jedním z nejvýznamnějších faktorů </w:t>
      </w:r>
      <w:r w:rsidRPr="00A03D17">
        <w:rPr>
          <w:spacing w:val="-4"/>
        </w:rPr>
        <w:t>ovlivňující rentabilitu výroby mléka. V souboru podniků se dojivost krav pohybovala mezi 5 280 a 11 750 litry od krávy za rok. Bylo prokázáno, že při vyšší dojivosti rostou náklady na krmný den a snižují se náklady ve vyjádření na litr prodaného mléka.</w:t>
      </w:r>
    </w:p>
    <w:p w:rsidR="00474B0E" w:rsidRPr="00A03D17" w:rsidRDefault="00474B0E" w:rsidP="009A492E">
      <w:pPr>
        <w:rPr>
          <w:spacing w:val="-4"/>
        </w:rPr>
      </w:pPr>
      <w:r w:rsidRPr="00A03D17">
        <w:rPr>
          <w:spacing w:val="-4"/>
        </w:rPr>
        <w:t>Velikost podniku má též vliv na úroveň celkových nákladů. U větších podniků jsou náklady a zejména fixní náklady rozděleny mezi větší počet jednotek a tím je dosahováno nižších celkových nákladů na chov jedné krávy, tj. realizují se tzv. úspory z rozsahu. Ve skupině podniků s velikostí nad 1 000 chovaných krav (9 % podniků) činily celkové náklady v průměru 7,94 Kč/l, tj. o 0,94 Kč/l méně než u celého souboru v ČR za rok 2016.</w:t>
      </w:r>
    </w:p>
    <w:p w:rsidR="00474B0E" w:rsidRPr="00A03D17" w:rsidRDefault="00474B0E" w:rsidP="009A492E">
      <w:pPr>
        <w:rPr>
          <w:spacing w:val="-4"/>
        </w:rPr>
      </w:pPr>
      <w:r w:rsidRPr="00A03D17">
        <w:rPr>
          <w:spacing w:val="-4"/>
        </w:rPr>
        <w:t xml:space="preserve">Mezi dílčími náklady výroby mléka roku 2016 u souboru podniků v ČR byla pozorována značná variabilita. Celkové náklady se u 90 % podniků pohybovaly mezi 7,38 Kč a 10,67 Kč při mediánu 8,85 Kč/l. U 21 % podniků byly náklady nižší jak 8 Kč/l a 14 % podniků mělo celkové náklady vyšší než 10 Kč/l. Ze zkoumaných parametrů největší variabilita byla u odpisů majetku, které jsou dány objemem investic. Nejnižší variační koeficient byl naopak u krmiv, u kterých výše nákladů kolísala mezi 2,93 a 4,77 Kč na litr mléka. </w:t>
      </w:r>
    </w:p>
    <w:p w:rsidR="00474B0E" w:rsidRPr="00A03D17" w:rsidRDefault="00474B0E" w:rsidP="009A492E">
      <w:pPr>
        <w:rPr>
          <w:spacing w:val="-4"/>
          <w:szCs w:val="24"/>
        </w:rPr>
      </w:pPr>
      <w:r w:rsidRPr="00A03D17">
        <w:rPr>
          <w:spacing w:val="-4"/>
          <w:szCs w:val="24"/>
        </w:rPr>
        <w:lastRenderedPageBreak/>
        <w:t xml:space="preserve">V období let 2006 až 2016 se u souboru podniků zvýšily celkové náklady na krávu a rok o 19 %. Náklady v roce 2006 byly 62 tis. Kč na krávu a rok a v průběhu let se zvýšily na 74 tis. Kč na krávu a rok (2016). Cenová hladina ale narůstá ve všech oblastech (v letech 2006 až 2016 v ČR činila průměrná roční míra inflace 2 %), což se promítá do vyšších cen vstupů i v zemědělském sektoru (vyšší ceny krmiva, práce, investice aj.). Vyšší cenová hladina se tak pochopitelně odráží také do vyšších nákladů výroby mléka. </w:t>
      </w:r>
    </w:p>
    <w:p w:rsidR="00A03D17" w:rsidRPr="00A03D17" w:rsidRDefault="00474B0E" w:rsidP="009A492E">
      <w:pPr>
        <w:rPr>
          <w:spacing w:val="-4"/>
          <w:szCs w:val="24"/>
        </w:rPr>
      </w:pPr>
      <w:r w:rsidRPr="00A03D17">
        <w:rPr>
          <w:spacing w:val="-4"/>
          <w:szCs w:val="24"/>
        </w:rPr>
        <w:t xml:space="preserve">Od celkových nákladů se odečítá hodnota narozených telat a ocenění statkových hnojiv a vzniklý rozdíl jsou náklady po odpočtu, které vychází v průměru za rok 2016 u podniků 8,41 Kč/l. Výnosy tvoří příjmy za prodej mléka. V roce 2016 vlivem nepříznivé situace na trhu s mlékem byly nízké nákupní ceny mléka, které nebyly dostatečně vysoké pro úhradu vzniklých nákladů. V souboru podniků byly při ceně za litr mléka 6,80 Kč a značné variabilitě vykazované mezi podniky dosaženo v průměru ztráty 1,60 Kč na litr prodaného mléka, tj. rentabilita -19 %. Výrazně horší ekonomický výsledek ve srovnání se souborem podniků za rok 2015 byl způsoben především o 0,99 Kč nižší nákupní cenou litru prodaného mléka v roce 2016. </w:t>
      </w:r>
    </w:p>
    <w:p w:rsidR="00474B0E" w:rsidRDefault="00A03D17" w:rsidP="00A03D17">
      <w:pPr>
        <w:spacing w:before="0"/>
        <w:rPr>
          <w:szCs w:val="24"/>
        </w:rPr>
      </w:pPr>
      <w:r>
        <w:rPr>
          <w:szCs w:val="24"/>
        </w:rPr>
        <w:br w:type="column"/>
      </w:r>
      <w:r w:rsidR="00474B0E" w:rsidRPr="006323FA">
        <w:rPr>
          <w:szCs w:val="24"/>
        </w:rPr>
        <w:lastRenderedPageBreak/>
        <w:t xml:space="preserve">Ekonomickou situaci výroby mléka zlepšily přijaté dotace. Zohledněním dotací (podpora vázaná na produkci, </w:t>
      </w:r>
      <w:r w:rsidR="00474B0E">
        <w:rPr>
          <w:szCs w:val="24"/>
        </w:rPr>
        <w:t>přechodné vnitrostátní podpory (</w:t>
      </w:r>
      <w:r w:rsidR="00474B0E" w:rsidRPr="006323FA">
        <w:rPr>
          <w:szCs w:val="24"/>
        </w:rPr>
        <w:t>PVP</w:t>
      </w:r>
      <w:r w:rsidR="00474B0E">
        <w:rPr>
          <w:szCs w:val="24"/>
        </w:rPr>
        <w:t>)</w:t>
      </w:r>
      <w:r w:rsidR="00474B0E" w:rsidRPr="006323FA">
        <w:rPr>
          <w:szCs w:val="24"/>
        </w:rPr>
        <w:t>, dobré životní podmínky zvířat</w:t>
      </w:r>
      <w:r w:rsidR="00474B0E">
        <w:rPr>
          <w:szCs w:val="24"/>
        </w:rPr>
        <w:t xml:space="preserve"> (DŽPZ)</w:t>
      </w:r>
      <w:r w:rsidR="00474B0E" w:rsidRPr="006323FA">
        <w:rPr>
          <w:szCs w:val="24"/>
        </w:rPr>
        <w:t>, národní dotace a mimořádné podpory) se ztráta snížila na úroveň 0,64 Kč/litr, resp. 5 296 Kč/krávu a rok. Započítáním dalších přijatých dotací (dalších přímých plateb, plateb z prostředků rozvoje venkova a národních dotací) by se rentabilita chovu zlepšila. Ukazatel příjmů nad náklady na krmiva (IOFC) v souboru podniků vychází v průměrné denní výši 68 Kč na jednu ustájenou krávu, resp. 80 Kč na dojenou krávu, což představuje denní tržbu za prodej mléka po úhradě (zaplacení) nákladů na krmiva. Průměrná hodnota se oproti výsledkům minulého roku změnila, přičemž meziroční snížení</w:t>
      </w:r>
      <w:r w:rsidR="00474B0E">
        <w:rPr>
          <w:szCs w:val="24"/>
        </w:rPr>
        <w:t xml:space="preserve"> </w:t>
      </w:r>
      <w:r w:rsidR="00474B0E" w:rsidRPr="006323FA">
        <w:rPr>
          <w:szCs w:val="24"/>
        </w:rPr>
        <w:t>o 21 % bylo dáno nižší průměrnou nákupní cenou za litr mléka. S tím, jak se zvyšuje průměrná dojivost, se zvyšují rovněž denní tržby a tím také ukazatel IOFC.</w:t>
      </w:r>
    </w:p>
    <w:p w:rsidR="00474B0E" w:rsidRDefault="00A03D17" w:rsidP="00A03D17">
      <w:pPr>
        <w:spacing w:before="0"/>
        <w:rPr>
          <w:szCs w:val="24"/>
        </w:rPr>
      </w:pPr>
      <w:r>
        <w:rPr>
          <w:szCs w:val="24"/>
        </w:rPr>
        <w:br w:type="column"/>
      </w:r>
      <w:r w:rsidR="00474B0E" w:rsidRPr="006323FA">
        <w:rPr>
          <w:szCs w:val="24"/>
        </w:rPr>
        <w:lastRenderedPageBreak/>
        <w:t>V roce 2017 lze očekávat v průměru vyšší nákupní cenu mléka než za rok 2016. Za předpokladu průměrné ceny mléka 8,</w:t>
      </w:r>
      <w:r w:rsidR="00474B0E">
        <w:rPr>
          <w:szCs w:val="24"/>
        </w:rPr>
        <w:t>31</w:t>
      </w:r>
      <w:r w:rsidR="00474B0E" w:rsidRPr="006323FA">
        <w:rPr>
          <w:szCs w:val="24"/>
        </w:rPr>
        <w:t xml:space="preserve"> Kč/l </w:t>
      </w:r>
      <w:r w:rsidR="00474B0E">
        <w:rPr>
          <w:szCs w:val="24"/>
        </w:rPr>
        <w:t xml:space="preserve">(1-9/2017, MZe) </w:t>
      </w:r>
      <w:r w:rsidR="00474B0E" w:rsidRPr="006323FA">
        <w:rPr>
          <w:szCs w:val="24"/>
        </w:rPr>
        <w:t>by při nákladech roku 2016 byla ztráta bez dotací jen 0,</w:t>
      </w:r>
      <w:r w:rsidR="00474B0E">
        <w:rPr>
          <w:szCs w:val="24"/>
        </w:rPr>
        <w:t xml:space="preserve">10 Kč/litr. Při započítání dotací by mohl být ekonomickým výsledkem výroby mléka roku 2017 zisk. Při odhadovaných dotacích 0,78 Kč/l (podpora vázaná na produkci, </w:t>
      </w:r>
      <w:r w:rsidR="00474B0E" w:rsidRPr="00773162">
        <w:rPr>
          <w:szCs w:val="24"/>
        </w:rPr>
        <w:t xml:space="preserve">PVP a </w:t>
      </w:r>
      <w:r w:rsidR="00474B0E">
        <w:rPr>
          <w:szCs w:val="24"/>
        </w:rPr>
        <w:t>DŽPZ) by zisk mohl dosáhnout výše 0,68 Kč/l (rentabilita +8 %).</w:t>
      </w:r>
    </w:p>
    <w:p w:rsidR="00474B0E" w:rsidRDefault="00474B0E" w:rsidP="001D2E7D">
      <w:pPr>
        <w:spacing w:after="240"/>
        <w:rPr>
          <w:szCs w:val="24"/>
        </w:rPr>
      </w:pPr>
      <w:r>
        <w:rPr>
          <w:szCs w:val="24"/>
        </w:rPr>
        <w:t>Vysoká</w:t>
      </w:r>
      <w:r w:rsidRPr="00242833">
        <w:rPr>
          <w:szCs w:val="24"/>
        </w:rPr>
        <w:t xml:space="preserve"> užitkovost je jedním z klíčových předpokladů ekonomické úspěšnosti chovu. Variabilní náklady, ve kterých jsou zastoupeny zejména krmiva, nejsou rozdílné v závislosti na dojivosti, zatímco fix</w:t>
      </w:r>
      <w:r>
        <w:rPr>
          <w:szCs w:val="24"/>
        </w:rPr>
        <w:t>ní náklady (mzdy, odpisy, režie</w:t>
      </w:r>
      <w:r w:rsidRPr="00242833">
        <w:rPr>
          <w:szCs w:val="24"/>
        </w:rPr>
        <w:t xml:space="preserve"> aj.) s růstem tržní produkce mléka klesají. S klesajícími fixními náklady se pak zlepšuje i </w:t>
      </w:r>
      <w:r>
        <w:rPr>
          <w:szCs w:val="24"/>
        </w:rPr>
        <w:t xml:space="preserve">ziskovost (graf 1). </w:t>
      </w:r>
      <w:r w:rsidRPr="00242833">
        <w:rPr>
          <w:szCs w:val="24"/>
        </w:rPr>
        <w:t>U skupiny podniků s tržní produkcí mléka pod 7 tis. litrů byl</w:t>
      </w:r>
      <w:r>
        <w:rPr>
          <w:szCs w:val="24"/>
        </w:rPr>
        <w:t>a ztráta 1,99 Kč/l (bez dotací), se zvyšující užitkovostí se ztráta snižovala a u podniků s tržní produkcí na 10 tis. litrů činila ztráta je 0,97 Kč/l (bez dotací). Zohledněním dotací by se u skupiny podniků s tržní produkcí nad 10 tis. litrů ztráta snížila na 0,16 Kč/l.</w:t>
      </w:r>
    </w:p>
    <w:p w:rsidR="00A03D17" w:rsidRDefault="00A03D17" w:rsidP="009A492E">
      <w:pPr>
        <w:rPr>
          <w:szCs w:val="24"/>
        </w:rPr>
        <w:sectPr w:rsidR="00A03D17" w:rsidSect="001A30E1">
          <w:type w:val="continuous"/>
          <w:pgSz w:w="11906" w:h="16838" w:code="9"/>
          <w:pgMar w:top="1134" w:right="964" w:bottom="1134" w:left="964" w:header="680" w:footer="624" w:gutter="0"/>
          <w:cols w:num="2" w:space="454"/>
          <w:docGrid w:linePitch="360"/>
        </w:sectPr>
      </w:pPr>
    </w:p>
    <w:tbl>
      <w:tblPr>
        <w:tblStyle w:val="Svtlstnovnzvraznn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118"/>
      </w:tblGrid>
      <w:tr w:rsidR="001D2E7D" w:rsidRPr="00AD5133" w:rsidTr="001D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8" w:type="dxa"/>
          </w:tcPr>
          <w:p w:rsidR="001D2E7D" w:rsidRPr="00AD5133" w:rsidRDefault="001D2E7D" w:rsidP="001445AA">
            <w:pPr>
              <w:rPr>
                <w:b w:val="0"/>
                <w:szCs w:val="24"/>
              </w:rPr>
            </w:pPr>
            <w:r w:rsidRPr="00AD5133">
              <w:rPr>
                <w:b w:val="0"/>
                <w:szCs w:val="24"/>
              </w:rPr>
              <w:lastRenderedPageBreak/>
              <w:t>Vysoká dojivost je jedním a nikoliv však jediným předpokladem dlouhodobé rentability produkce. Z modelového propočtu (tabulka 4) na základě údajů od podniků v roce 2016, vyplývá, že ani při vysoké užitkovosti nelze při nízkých cenách vyrábět mléko se ziskem. I vysoké ceny při nízké produkci nezajistí dostatečně vysoké příjmy na úhradu vzniklých nákladů a výsledek bude opět ztráta z výroby mléka.</w:t>
            </w:r>
          </w:p>
        </w:tc>
      </w:tr>
    </w:tbl>
    <w:p w:rsidR="001445AA" w:rsidRDefault="001445AA" w:rsidP="001445AA">
      <w:pPr>
        <w:rPr>
          <w:szCs w:val="24"/>
        </w:rPr>
      </w:pPr>
    </w:p>
    <w:p w:rsidR="00474B0E" w:rsidRDefault="00474B0E" w:rsidP="00322234">
      <w:pPr>
        <w:pStyle w:val="Nadpis3"/>
      </w:pPr>
      <w:r>
        <w:t xml:space="preserve">Graf </w:t>
      </w:r>
      <w:r>
        <w:fldChar w:fldCharType="begin"/>
      </w:r>
      <w:r>
        <w:instrText xml:space="preserve"> SEQ Graf \* ARABIC </w:instrText>
      </w:r>
      <w:r>
        <w:fldChar w:fldCharType="separate"/>
      </w:r>
      <w:r w:rsidR="00BA5EE3">
        <w:rPr>
          <w:noProof/>
        </w:rPr>
        <w:t>1</w:t>
      </w:r>
      <w:r>
        <w:rPr>
          <w:noProof/>
        </w:rPr>
        <w:fldChar w:fldCharType="end"/>
      </w:r>
      <w:r>
        <w:t>:</w:t>
      </w:r>
      <w:r w:rsidRPr="00773162">
        <w:t xml:space="preserve"> Náklady a zisk bez dotací v závislosti na tržní produkci (2016)</w:t>
      </w:r>
    </w:p>
    <w:p w:rsidR="00474B0E" w:rsidRDefault="00474B0E" w:rsidP="00474B0E">
      <w:pPr>
        <w:jc w:val="left"/>
        <w:rPr>
          <w:szCs w:val="24"/>
        </w:rPr>
      </w:pPr>
      <w:r w:rsidRPr="00773162">
        <w:rPr>
          <w:noProof/>
          <w:szCs w:val="24"/>
        </w:rPr>
        <w:drawing>
          <wp:inline distT="0" distB="0" distL="0" distR="0" wp14:anchorId="4B1072D6" wp14:editId="511263AB">
            <wp:extent cx="5759355" cy="2961565"/>
            <wp:effectExtent l="19050" t="19050" r="13335" b="1079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4B0E" w:rsidRPr="007A7FA3" w:rsidRDefault="00474B0E" w:rsidP="00474B0E">
      <w:pPr>
        <w:ind w:firstLine="708"/>
      </w:pPr>
    </w:p>
    <w:p w:rsidR="00474B0E" w:rsidRDefault="00474B0E" w:rsidP="00322234">
      <w:pPr>
        <w:pStyle w:val="Nadpis3"/>
      </w:pPr>
      <w:r>
        <w:lastRenderedPageBreak/>
        <w:t xml:space="preserve">Tabulka </w:t>
      </w:r>
      <w:r>
        <w:fldChar w:fldCharType="begin"/>
      </w:r>
      <w:r>
        <w:instrText xml:space="preserve"> SEQ Tabulka \* ARABIC </w:instrText>
      </w:r>
      <w:r>
        <w:fldChar w:fldCharType="separate"/>
      </w:r>
      <w:r w:rsidR="00BA5EE3">
        <w:rPr>
          <w:noProof/>
        </w:rPr>
        <w:t>4</w:t>
      </w:r>
      <w:r>
        <w:rPr>
          <w:noProof/>
        </w:rPr>
        <w:fldChar w:fldCharType="end"/>
      </w:r>
      <w:r>
        <w:t>: Závislost zisku na ceně mléka a tržní produkci</w:t>
      </w:r>
    </w:p>
    <w:tbl>
      <w:tblPr>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0" w:type="dxa"/>
          <w:right w:w="0" w:type="dxa"/>
        </w:tblCellMar>
        <w:tblLook w:val="04A0" w:firstRow="1" w:lastRow="0" w:firstColumn="1" w:lastColumn="0" w:noHBand="0" w:noVBand="1"/>
      </w:tblPr>
      <w:tblGrid>
        <w:gridCol w:w="2482"/>
        <w:gridCol w:w="850"/>
        <w:gridCol w:w="1131"/>
        <w:gridCol w:w="1131"/>
        <w:gridCol w:w="1131"/>
        <w:gridCol w:w="1131"/>
        <w:gridCol w:w="1131"/>
        <w:gridCol w:w="1131"/>
      </w:tblGrid>
      <w:tr w:rsidR="001445AA" w:rsidRPr="001445AA" w:rsidTr="00640FC5">
        <w:trPr>
          <w:trHeight w:val="57"/>
        </w:trPr>
        <w:tc>
          <w:tcPr>
            <w:tcW w:w="1646" w:type="pct"/>
            <w:gridSpan w:val="2"/>
            <w:vMerge w:val="restar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zisk/ztráta v Kč/l</w:t>
            </w:r>
            <w:r w:rsidR="001445AA">
              <w:t xml:space="preserve">  </w:t>
            </w:r>
            <w:r w:rsidR="001445AA">
              <w:br/>
            </w:r>
            <w:r w:rsidRPr="001445AA">
              <w:t>(vč. dotací*)</w:t>
            </w:r>
          </w:p>
        </w:tc>
        <w:tc>
          <w:tcPr>
            <w:tcW w:w="3354" w:type="pct"/>
            <w:gridSpan w:val="6"/>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cena mléka (Kč/l)</w:t>
            </w:r>
          </w:p>
        </w:tc>
      </w:tr>
      <w:tr w:rsidR="001445AA" w:rsidRPr="001445AA" w:rsidTr="00640FC5">
        <w:trPr>
          <w:trHeight w:val="57"/>
        </w:trPr>
        <w:tc>
          <w:tcPr>
            <w:tcW w:w="1646" w:type="pct"/>
            <w:gridSpan w:val="2"/>
            <w:vMerge/>
            <w:shd w:val="clear" w:color="auto" w:fill="auto"/>
            <w:vAlign w:val="center"/>
            <w:hideMark/>
          </w:tcPr>
          <w:p w:rsidR="00474B0E" w:rsidRPr="001445AA" w:rsidRDefault="00474B0E" w:rsidP="00640FC5">
            <w:pPr>
              <w:spacing w:before="40" w:line="240" w:lineRule="auto"/>
              <w:jc w:val="center"/>
            </w:pPr>
          </w:p>
        </w:tc>
        <w:tc>
          <w:tcPr>
            <w:tcW w:w="559"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6,50</w:t>
            </w:r>
          </w:p>
        </w:tc>
        <w:tc>
          <w:tcPr>
            <w:tcW w:w="559"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7,00</w:t>
            </w:r>
          </w:p>
        </w:tc>
        <w:tc>
          <w:tcPr>
            <w:tcW w:w="559"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7,50</w:t>
            </w:r>
          </w:p>
        </w:tc>
        <w:tc>
          <w:tcPr>
            <w:tcW w:w="559"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8,00</w:t>
            </w:r>
          </w:p>
        </w:tc>
        <w:tc>
          <w:tcPr>
            <w:tcW w:w="559" w:type="pct"/>
            <w:shd w:val="clear" w:color="auto" w:fill="DBE5F1" w:themeFill="accent1" w:themeFillTint="33"/>
            <w:tcMar>
              <w:top w:w="15" w:type="dxa"/>
              <w:left w:w="70" w:type="dxa"/>
              <w:bottom w:w="0" w:type="dxa"/>
              <w:right w:w="70" w:type="dxa"/>
            </w:tcMar>
            <w:vAlign w:val="bottom"/>
            <w:hideMark/>
          </w:tcPr>
          <w:p w:rsidR="00474B0E" w:rsidRPr="001445AA" w:rsidRDefault="00474B0E" w:rsidP="00640FC5">
            <w:pPr>
              <w:spacing w:before="40" w:line="240" w:lineRule="auto"/>
              <w:jc w:val="center"/>
            </w:pPr>
            <w:r w:rsidRPr="001445AA">
              <w:t>8,50</w:t>
            </w:r>
          </w:p>
        </w:tc>
        <w:tc>
          <w:tcPr>
            <w:tcW w:w="559" w:type="pct"/>
            <w:shd w:val="clear" w:color="auto" w:fill="DBE5F1" w:themeFill="accent1" w:themeFillTint="33"/>
            <w:tcMar>
              <w:top w:w="15" w:type="dxa"/>
              <w:left w:w="70" w:type="dxa"/>
              <w:bottom w:w="0" w:type="dxa"/>
              <w:right w:w="70" w:type="dxa"/>
            </w:tcMar>
            <w:vAlign w:val="bottom"/>
            <w:hideMark/>
          </w:tcPr>
          <w:p w:rsidR="00474B0E" w:rsidRPr="001445AA" w:rsidRDefault="00474B0E" w:rsidP="00640FC5">
            <w:pPr>
              <w:spacing w:before="40" w:line="240" w:lineRule="auto"/>
              <w:jc w:val="center"/>
            </w:pPr>
            <w:r w:rsidRPr="001445AA">
              <w:t>9,00</w:t>
            </w:r>
          </w:p>
        </w:tc>
      </w:tr>
      <w:tr w:rsidR="001445AA" w:rsidRPr="001445AA" w:rsidTr="00640FC5">
        <w:trPr>
          <w:trHeight w:val="57"/>
        </w:trPr>
        <w:tc>
          <w:tcPr>
            <w:tcW w:w="1226" w:type="pct"/>
            <w:vMerge w:val="restar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ind w:left="284"/>
              <w:jc w:val="left"/>
            </w:pPr>
            <w:r w:rsidRPr="001445AA">
              <w:t>tržní produkce mléka</w:t>
            </w:r>
            <w:r w:rsidRPr="001445AA">
              <w:br/>
              <w:t>(tis. l/krávu/rok)</w:t>
            </w: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6</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-2,12</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-1,62</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-1,12</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-0,62</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-0,12</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+ 0,38</w:t>
            </w:r>
          </w:p>
        </w:tc>
      </w:tr>
      <w:tr w:rsidR="001445AA" w:rsidRPr="001445AA" w:rsidTr="00640FC5">
        <w:trPr>
          <w:trHeight w:val="57"/>
        </w:trPr>
        <w:tc>
          <w:tcPr>
            <w:tcW w:w="1226" w:type="pct"/>
            <w:vMerge/>
            <w:shd w:val="clear" w:color="auto" w:fill="DBE5F1" w:themeFill="accent1" w:themeFillTint="33"/>
            <w:vAlign w:val="center"/>
            <w:hideMark/>
          </w:tcPr>
          <w:p w:rsidR="00474B0E" w:rsidRPr="001445AA" w:rsidRDefault="00474B0E" w:rsidP="00640FC5">
            <w:pPr>
              <w:spacing w:before="40" w:line="240" w:lineRule="auto"/>
            </w:pP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7</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-1,51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-1,01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-0,51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-0,01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+ 0,49</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+ 0,99</w:t>
            </w:r>
          </w:p>
        </w:tc>
      </w:tr>
      <w:tr w:rsidR="001445AA" w:rsidRPr="001445AA" w:rsidTr="00640FC5">
        <w:trPr>
          <w:trHeight w:val="57"/>
        </w:trPr>
        <w:tc>
          <w:tcPr>
            <w:tcW w:w="1226" w:type="pct"/>
            <w:vMerge/>
            <w:shd w:val="clear" w:color="auto" w:fill="DBE5F1" w:themeFill="accent1" w:themeFillTint="33"/>
            <w:vAlign w:val="center"/>
            <w:hideMark/>
          </w:tcPr>
          <w:p w:rsidR="00474B0E" w:rsidRPr="001445AA" w:rsidRDefault="00474B0E" w:rsidP="00640FC5">
            <w:pPr>
              <w:spacing w:before="40" w:line="240" w:lineRule="auto"/>
            </w:pP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8</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-1,05</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-0,55</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-0,05</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+ 0,45</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+ 0,95</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+ 1,45</w:t>
            </w:r>
          </w:p>
        </w:tc>
      </w:tr>
      <w:tr w:rsidR="001445AA" w:rsidRPr="001445AA" w:rsidTr="00640FC5">
        <w:trPr>
          <w:trHeight w:val="57"/>
        </w:trPr>
        <w:tc>
          <w:tcPr>
            <w:tcW w:w="1226" w:type="pct"/>
            <w:vMerge/>
            <w:shd w:val="clear" w:color="auto" w:fill="DBE5F1" w:themeFill="accent1" w:themeFillTint="33"/>
            <w:vAlign w:val="center"/>
            <w:hideMark/>
          </w:tcPr>
          <w:p w:rsidR="00474B0E" w:rsidRPr="001445AA" w:rsidRDefault="00474B0E" w:rsidP="00640FC5">
            <w:pPr>
              <w:spacing w:before="40" w:line="240" w:lineRule="auto"/>
            </w:pP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9</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-0,69</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-0,19</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+ 0,31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+ 0,81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+ 1,31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+ 1,81</w:t>
            </w:r>
          </w:p>
        </w:tc>
      </w:tr>
      <w:tr w:rsidR="001445AA" w:rsidRPr="001445AA" w:rsidTr="00640FC5">
        <w:trPr>
          <w:trHeight w:val="57"/>
        </w:trPr>
        <w:tc>
          <w:tcPr>
            <w:tcW w:w="1226" w:type="pct"/>
            <w:vMerge/>
            <w:shd w:val="clear" w:color="auto" w:fill="DBE5F1" w:themeFill="accent1" w:themeFillTint="33"/>
            <w:vAlign w:val="center"/>
            <w:hideMark/>
          </w:tcPr>
          <w:p w:rsidR="00474B0E" w:rsidRPr="001445AA" w:rsidRDefault="00474B0E" w:rsidP="00640FC5">
            <w:pPr>
              <w:spacing w:before="40" w:line="240" w:lineRule="auto"/>
            </w:pP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-0,40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+ 0,10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+ 0,60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+ 1,10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+ 1,60</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+ 2,10</w:t>
            </w:r>
          </w:p>
        </w:tc>
      </w:tr>
      <w:tr w:rsidR="001445AA" w:rsidRPr="001445AA" w:rsidTr="00640FC5">
        <w:trPr>
          <w:trHeight w:val="57"/>
        </w:trPr>
        <w:tc>
          <w:tcPr>
            <w:tcW w:w="1226" w:type="pct"/>
            <w:vMerge/>
            <w:shd w:val="clear" w:color="auto" w:fill="DBE5F1" w:themeFill="accent1" w:themeFillTint="33"/>
            <w:vAlign w:val="center"/>
            <w:hideMark/>
          </w:tcPr>
          <w:p w:rsidR="00474B0E" w:rsidRPr="001445AA" w:rsidRDefault="00474B0E" w:rsidP="00640FC5">
            <w:pPr>
              <w:spacing w:before="40" w:line="240" w:lineRule="auto"/>
            </w:pPr>
          </w:p>
        </w:tc>
        <w:tc>
          <w:tcPr>
            <w:tcW w:w="420" w:type="pct"/>
            <w:shd w:val="clear" w:color="auto" w:fill="DBE5F1" w:themeFill="accent1" w:themeFillTint="33"/>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11</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-0,17</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+ 0,33</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+ 0,83</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+ 1,33</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+ 1,83</w:t>
            </w:r>
          </w:p>
        </w:tc>
        <w:tc>
          <w:tcPr>
            <w:tcW w:w="559" w:type="pct"/>
            <w:shd w:val="clear" w:color="auto" w:fill="auto"/>
            <w:tcMar>
              <w:top w:w="15" w:type="dxa"/>
              <w:left w:w="70" w:type="dxa"/>
              <w:bottom w:w="0" w:type="dxa"/>
              <w:right w:w="70" w:type="dxa"/>
            </w:tcMar>
            <w:vAlign w:val="center"/>
            <w:hideMark/>
          </w:tcPr>
          <w:p w:rsidR="00474B0E" w:rsidRPr="001445AA" w:rsidRDefault="00474B0E" w:rsidP="00640FC5">
            <w:pPr>
              <w:spacing w:before="40" w:line="240" w:lineRule="auto"/>
              <w:jc w:val="center"/>
            </w:pPr>
            <w:r w:rsidRPr="001445AA">
              <w:t>+ 2,33</w:t>
            </w:r>
          </w:p>
        </w:tc>
      </w:tr>
    </w:tbl>
    <w:p w:rsidR="00474B0E" w:rsidRPr="0056648A" w:rsidRDefault="00474B0E" w:rsidP="00322234">
      <w:pPr>
        <w:rPr>
          <w:i/>
          <w:sz w:val="18"/>
          <w:szCs w:val="18"/>
        </w:rPr>
      </w:pPr>
      <w:r w:rsidRPr="0056648A">
        <w:rPr>
          <w:i/>
          <w:sz w:val="18"/>
          <w:szCs w:val="18"/>
        </w:rPr>
        <w:t>* do dotací se počítá podpora vázaná na produkci, PVP, platby na dobré životní podmínky, národní dotace a mimořádné podpory</w:t>
      </w:r>
    </w:p>
    <w:p w:rsidR="00474B0E" w:rsidRPr="00584B77" w:rsidRDefault="00474B0E" w:rsidP="00474B0E"/>
    <w:p w:rsidR="00474B0E" w:rsidRDefault="00474B0E" w:rsidP="00322234">
      <w:pPr>
        <w:pStyle w:val="Nadpis3"/>
      </w:pPr>
      <w:r>
        <w:t xml:space="preserve">Graf </w:t>
      </w:r>
      <w:r>
        <w:fldChar w:fldCharType="begin"/>
      </w:r>
      <w:r>
        <w:instrText xml:space="preserve"> SEQ Graf \* ARABIC </w:instrText>
      </w:r>
      <w:r>
        <w:fldChar w:fldCharType="separate"/>
      </w:r>
      <w:r w:rsidR="00BA5EE3">
        <w:rPr>
          <w:noProof/>
        </w:rPr>
        <w:t>2</w:t>
      </w:r>
      <w:r>
        <w:rPr>
          <w:noProof/>
        </w:rPr>
        <w:fldChar w:fldCharType="end"/>
      </w:r>
      <w:r>
        <w:t>: Náklady výroby mléka v Kč/l a cena mléka u souboru podniků v letech 2006 až 2016</w:t>
      </w:r>
    </w:p>
    <w:p w:rsidR="00474B0E" w:rsidRDefault="00474B0E" w:rsidP="00474B0E">
      <w:r>
        <w:rPr>
          <w:noProof/>
        </w:rPr>
        <mc:AlternateContent>
          <mc:Choice Requires="wps">
            <w:drawing>
              <wp:anchor distT="0" distB="0" distL="114300" distR="114300" simplePos="0" relativeHeight="251692032" behindDoc="0" locked="0" layoutInCell="1" allowOverlap="1" wp14:anchorId="49866E7D" wp14:editId="4549834F">
                <wp:simplePos x="0" y="0"/>
                <wp:positionH relativeFrom="column">
                  <wp:posOffset>5111750</wp:posOffset>
                </wp:positionH>
                <wp:positionV relativeFrom="paragraph">
                  <wp:posOffset>679280</wp:posOffset>
                </wp:positionV>
                <wp:extent cx="614149" cy="184244"/>
                <wp:effectExtent l="0" t="0" r="14605" b="25400"/>
                <wp:wrapNone/>
                <wp:docPr id="301" name="Textové pol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84244"/>
                        </a:xfrm>
                        <a:prstGeom prst="rect">
                          <a:avLst/>
                        </a:prstGeom>
                        <a:solidFill>
                          <a:srgbClr val="FFFFFF"/>
                        </a:solidFill>
                        <a:ln w="19050">
                          <a:solidFill>
                            <a:srgbClr val="00B050"/>
                          </a:solidFill>
                          <a:miter lim="800000"/>
                          <a:headEnd/>
                          <a:tailEnd/>
                        </a:ln>
                      </wps:spPr>
                      <wps:txbx>
                        <w:txbxContent>
                          <w:p w:rsidR="001875C3" w:rsidRPr="001B7609" w:rsidRDefault="001875C3" w:rsidP="00BC478C">
                            <w:pPr>
                              <w:spacing w:before="0"/>
                              <w:jc w:val="center"/>
                              <w:rPr>
                                <w:b/>
                                <w:color w:val="00B050"/>
                              </w:rPr>
                            </w:pPr>
                            <w:r w:rsidRPr="001B7609">
                              <w:rPr>
                                <w:b/>
                                <w:color w:val="00B050"/>
                              </w:rPr>
                              <w:t>ODHAD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33" type="#_x0000_t202" style="position:absolute;left:0;text-align:left;margin-left:402.5pt;margin-top:53.5pt;width:48.3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aBLAIAAEQEAAAOAAAAZHJzL2Uyb0RvYy54bWysU11u2zAMfh+wOwh6X2xnWZcacYo2XYYB&#10;3Q/Q9gCyLMfCJFGTlNjZjXqOXWyUnKQ/w16G6UGgRPIj+ZFcXAxakZ1wXoKpaDHJKRGGQyPNpqL3&#10;d+s3c0p8YKZhCoyo6F54erF8/WrR21JMoQPVCEcQxPiytxXtQrBllnneCc38BKwwqGzBaRbw6TZZ&#10;41iP6Fpl0zw/y3pwjXXAhff4ez0q6TLht63g4WvbehGIqijmFtLt0l3HO1suWLlxzHaSH9Jg/5CF&#10;ZtJg0BPUNQuMbJ38A0pL7sBDGyYcdAZtK7lINWA1Rf6imtuOWZFqQXK8PdHk/x8s/7L75ohsKvo2&#10;LygxTGOT7sQQYPfrgVhQgkQF0tRbX6L1rUX7MFzBgO1OJXt7A/y7JwZWHTMbcekc9J1gDaaZPLMn&#10;riOOjyB1/xkajMa2ARLQ0DodOURWCKJju/anFmFGhOPnWTErZueUcFQV89l0Nou5Zaw8Olvnw0cB&#10;mkShog4nIIGz3Y0Po+nRJMbyoGSzlkqlh9vUK+XIjuG0rNM5oD8zU4b0GP08f5ePBPwVI8+votEY&#10;9hmGlgHnXkld0XkeTzRiZaTtg2mSHJhUo4zlKYNVRh4jdSOJYaiH1Ln30Tfqamj2SKyDccxxLVHo&#10;wP2kpMcRr6j/sWVOUKI+GWxO3Iej4I5CfRSY4eha0UDJKK5C2puYpoFLbForE6GPkQ8p4qimlhzW&#10;Ku7C03eyelz+5W8AAAD//wMAUEsDBBQABgAIAAAAIQDGRm3v3wAAAAsBAAAPAAAAZHJzL2Rvd25y&#10;ZXYueG1sTI9BT8MwDIXvSPyHyEhcEEtWRLd1TSc0CWnXbhzgljVeW9Y4VZN15d9jTuxm+z09fy/f&#10;TK4TIw6h9aRhPlMgkCpvW6o1fBzen5cgQjRkTecJNfxggE1xf5ebzPorlTjuYy04hEJmNDQx9pmU&#10;oWrQmTDzPRJrJz84E3kdamkHc+Vw18lEqVQ60xJ/aEyP2war8/7iNKjkNB3KcYup/U6ediV+nuXX&#10;TuvHh+ltDSLiFP/N8IfP6FAw09FfyAbRaViqV+4SWVALHtixUvMFiCNfXlIFssjlbYfiFwAA//8D&#10;AFBLAQItABQABgAIAAAAIQC2gziS/gAAAOEBAAATAAAAAAAAAAAAAAAAAAAAAABbQ29udGVudF9U&#10;eXBlc10ueG1sUEsBAi0AFAAGAAgAAAAhADj9If/WAAAAlAEAAAsAAAAAAAAAAAAAAAAALwEAAF9y&#10;ZWxzLy5yZWxzUEsBAi0AFAAGAAgAAAAhAJ5ytoEsAgAARAQAAA4AAAAAAAAAAAAAAAAALgIAAGRy&#10;cy9lMm9Eb2MueG1sUEsBAi0AFAAGAAgAAAAhAMZGbe/fAAAACwEAAA8AAAAAAAAAAAAAAAAAhgQA&#10;AGRycy9kb3ducmV2LnhtbFBLBQYAAAAABAAEAPMAAACSBQAAAAA=&#10;" strokecolor="#00b050" strokeweight="1.5pt">
                <v:textbox inset="0,0,0,0">
                  <w:txbxContent>
                    <w:p w:rsidR="001875C3" w:rsidRPr="001B7609" w:rsidRDefault="001875C3" w:rsidP="00BC478C">
                      <w:pPr>
                        <w:spacing w:before="0"/>
                        <w:jc w:val="center"/>
                        <w:rPr>
                          <w:b/>
                          <w:color w:val="00B050"/>
                        </w:rPr>
                      </w:pPr>
                      <w:r w:rsidRPr="001B7609">
                        <w:rPr>
                          <w:b/>
                          <w:color w:val="00B050"/>
                        </w:rPr>
                        <w:t>ODHAD</w:t>
                      </w:r>
                    </w:p>
                  </w:txbxContent>
                </v:textbox>
              </v:shape>
            </w:pict>
          </mc:Fallback>
        </mc:AlternateContent>
      </w:r>
      <w:r w:rsidRPr="0078236B">
        <w:rPr>
          <w:noProof/>
          <w:szCs w:val="24"/>
        </w:rPr>
        <mc:AlternateContent>
          <mc:Choice Requires="wps">
            <w:drawing>
              <wp:anchor distT="0" distB="0" distL="114300" distR="114300" simplePos="0" relativeHeight="251691008" behindDoc="0" locked="0" layoutInCell="1" allowOverlap="1" wp14:anchorId="303F35A2" wp14:editId="03F949B8">
                <wp:simplePos x="0" y="0"/>
                <wp:positionH relativeFrom="column">
                  <wp:posOffset>60780</wp:posOffset>
                </wp:positionH>
                <wp:positionV relativeFrom="paragraph">
                  <wp:posOffset>285750</wp:posOffset>
                </wp:positionV>
                <wp:extent cx="415925" cy="1403985"/>
                <wp:effectExtent l="0" t="0" r="3175" b="63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03985"/>
                        </a:xfrm>
                        <a:prstGeom prst="rect">
                          <a:avLst/>
                        </a:prstGeom>
                        <a:noFill/>
                        <a:ln w="9525">
                          <a:noFill/>
                          <a:miter lim="800000"/>
                          <a:headEnd/>
                          <a:tailEnd/>
                        </a:ln>
                      </wps:spPr>
                      <wps:txbx>
                        <w:txbxContent>
                          <w:p w:rsidR="001875C3" w:rsidRPr="0078236B" w:rsidRDefault="001875C3" w:rsidP="00474B0E">
                            <w:pPr>
                              <w:rPr>
                                <w:b/>
                              </w:rPr>
                            </w:pPr>
                            <w:r w:rsidRPr="0078236B">
                              <w:rPr>
                                <w:b/>
                              </w:rPr>
                              <w:t>Kč/l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ové pole 2" o:spid="_x0000_s1034" type="#_x0000_t202" style="position:absolute;left:0;text-align:left;margin-left:4.8pt;margin-top:22.5pt;width:32.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hKDwIAAPADAAAOAAAAZHJzL2Uyb0RvYy54bWysU1FuEzEQ/UfiDpb/yW7SBpJVnKq0BCEV&#10;qNRyAMfrzVrYHmM72Q034hxcjLE3m1blD7Ef1njteTPvzfPqqjeaHKQPCiyj00lJibQCamV3jH57&#10;3LxZUBIitzXXYCWjRxno1fr1q1XnKjmDFnQtPUEQG6rOMdrG6KqiCKKVhocJOGnxsAFveMSt3xW1&#10;5x2iG13MyvJt0YGvnQchQ8C/t8MhXWf8ppEifm2aICPRjGJvMa8+r9u0FusVr3aeu1aJUxv8H7ow&#10;XFkseoa65ZGTvVd/QRklPARo4kSAKaBplJCZA7KZli/YPLTcycwFxQnuLFP4f7Diy+HeE1UzelG+&#10;o8Ryg0N6lH2Ew+9fxIGWZJZE6lyo8O6Dw9uxfw89DjsTDu4OxPdALNy03O7ktffQtZLX2OQ0ZRbP&#10;UgeckEC23WeosRbfR8hAfeNNUhA1IYiOwzqeB4T9EIE/L6fz5WxOicCj6WV5sVzMcwlejdnOh/hR&#10;giEpYNSjATI6P9yFmLrh1XglFbOwUVpnE2hLOkaXc8R/cWJURI9qZRhdlOkbXJNIfrB1To5c6SHG&#10;AtqeWCeiA+XYb/us8mIUcwv1EWXwMFgSnxAGLfiflHRoR0bDjz33khL9yaKUybtj4MdgOwbcCkxl&#10;NFIyhDcxezwRCe4aJd6ozD7NYqh8ahFtlUU5PYHk2+f7fOvpoa7/AAAA//8DAFBLAwQUAAYACAAA&#10;ACEAdSSkztsAAAAHAQAADwAAAGRycy9kb3ducmV2LnhtbEyPMU/DMBSEdyT+g/WQ2KiTigSaxqlQ&#10;JRY22sLsxG5iYT+nttuaf89jgvF0p7vv2k12ll10iMajgHJRANM4eGVwFHDYvz48A4tJopLWoxbw&#10;rSNsutubVjbKX/FdX3ZpZFSCsZECppTmhvM4TNrJuPCzRvKOPjiZSIaRqyCvVO4sXxZFzZ00SAuT&#10;nPV20sPX7uwEnBTv89tpVHlbfZoPY/vVsA9C3N/llzWwpHP6C8MvPqFDR0y9P6OKzApY1RQU8FjR&#10;I7KfqhJYL2BZ1yXwruX/+bsfAAAA//8DAFBLAQItABQABgAIAAAAIQC2gziS/gAAAOEBAAATAAAA&#10;AAAAAAAAAAAAAAAAAABbQ29udGVudF9UeXBlc10ueG1sUEsBAi0AFAAGAAgAAAAhADj9If/WAAAA&#10;lAEAAAsAAAAAAAAAAAAAAAAALwEAAF9yZWxzLy5yZWxzUEsBAi0AFAAGAAgAAAAhAGPs+EoPAgAA&#10;8AMAAA4AAAAAAAAAAAAAAAAALgIAAGRycy9lMm9Eb2MueG1sUEsBAi0AFAAGAAgAAAAhAHUkpM7b&#10;AAAABwEAAA8AAAAAAAAAAAAAAAAAaQQAAGRycy9kb3ducmV2LnhtbFBLBQYAAAAABAAEAPMAAABx&#10;BQAAAAA=&#10;" filled="f" stroked="f">
                <v:textbox style="mso-fit-shape-to-text:t" inset="0,0,0,0">
                  <w:txbxContent>
                    <w:p w:rsidR="001875C3" w:rsidRPr="0078236B" w:rsidRDefault="001875C3" w:rsidP="00474B0E">
                      <w:pPr>
                        <w:rPr>
                          <w:b/>
                        </w:rPr>
                      </w:pPr>
                      <w:r w:rsidRPr="0078236B">
                        <w:rPr>
                          <w:b/>
                        </w:rPr>
                        <w:t>Kč/l</w:t>
                      </w:r>
                    </w:p>
                  </w:txbxContent>
                </v:textbox>
              </v:shape>
            </w:pict>
          </mc:Fallback>
        </mc:AlternateContent>
      </w:r>
      <w:r w:rsidRPr="00242833">
        <w:rPr>
          <w:noProof/>
          <w:color w:val="76923C" w:themeColor="accent3" w:themeShade="BF"/>
        </w:rPr>
        <w:drawing>
          <wp:inline distT="0" distB="0" distL="0" distR="0" wp14:anchorId="0D8DBE5C" wp14:editId="11CC90D6">
            <wp:extent cx="5759355" cy="2995683"/>
            <wp:effectExtent l="0" t="0" r="13335" b="14605"/>
            <wp:docPr id="302" name="Graf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0FC5" w:rsidRDefault="00640FC5" w:rsidP="00640FC5"/>
    <w:p w:rsidR="001D2E7D" w:rsidRDefault="001D2E7D" w:rsidP="00640FC5">
      <w:pPr>
        <w:sectPr w:rsidR="001D2E7D" w:rsidSect="001A30E1">
          <w:type w:val="continuous"/>
          <w:pgSz w:w="11906" w:h="16838" w:code="9"/>
          <w:pgMar w:top="1134" w:right="964" w:bottom="1134" w:left="964" w:header="680" w:footer="624" w:gutter="0"/>
          <w:cols w:space="708"/>
          <w:docGrid w:linePitch="360"/>
        </w:sectPr>
      </w:pPr>
    </w:p>
    <w:p w:rsidR="00474B0E" w:rsidRPr="001D2E7D" w:rsidRDefault="00474B0E" w:rsidP="001D2E7D">
      <w:pPr>
        <w:spacing w:before="0"/>
        <w:rPr>
          <w:spacing w:val="-4"/>
        </w:rPr>
      </w:pPr>
      <w:r w:rsidRPr="001D2E7D">
        <w:rPr>
          <w:spacing w:val="-4"/>
        </w:rPr>
        <w:lastRenderedPageBreak/>
        <w:t>Podniky chovající dojnice v produkční oblasti dosahovaly lepších ekonomických výsledků oproti farmám hospodařících v oblastech LFA. Ztráta roku 2016 byla u podniků hospodařící v produkční oblasti nižší (0,57 Kč/l a 12,2 Kč/KD) oproti průměru u podniků v LFA oblastech (ztráta 0,74 Kč/l a 15,4 Kč/KD). I přesto, že u podniků v LFA oblastech byly v průměru náklady na KD nižší (194 vůči 202 Kč/KD), tak díky nižší dojivosti, vychází také nižší náklady na litr mléka a podniky dosáhly větší ztráty z produkce mléka. Tuto rozdílnost by částečně řešily dotace na méně příznivé oblasti, které nejsou v těchto výpočtech uvažovány.</w:t>
      </w:r>
    </w:p>
    <w:p w:rsidR="00474B0E" w:rsidRPr="001D2E7D" w:rsidRDefault="00474B0E" w:rsidP="00640FC5">
      <w:pPr>
        <w:rPr>
          <w:spacing w:val="-4"/>
        </w:rPr>
      </w:pPr>
      <w:r w:rsidRPr="001D2E7D">
        <w:rPr>
          <w:spacing w:val="-4"/>
        </w:rPr>
        <w:t xml:space="preserve">Náklady výroby mléka na krávu se každým rokem zvyšují, nicméně v důsledku rostoucí dojivosti, zaznamenaly v posledních jedenácti letech náklady na litr prodaného mléka jen malé výkyvy. V průměru byly v letech 2006 až 2016 celkové náklady na litr mléka </w:t>
      </w:r>
      <w:r w:rsidRPr="001D2E7D">
        <w:rPr>
          <w:spacing w:val="-4"/>
        </w:rPr>
        <w:lastRenderedPageBreak/>
        <w:t>8,94 Kč. Oproti tomu, cena mléka zaznamenala u souboru podniků, stejně jako na národní úrovni, vyšší variabilitu (graf 2). Kladného zisku bez dotací tak bylo dosaženou u souboru podniků pouze za roky 2007, 2008 a 2014.</w:t>
      </w:r>
    </w:p>
    <w:p w:rsidR="00474B0E" w:rsidRPr="001D2E7D" w:rsidRDefault="00474B0E" w:rsidP="00640FC5">
      <w:pPr>
        <w:rPr>
          <w:spacing w:val="-4"/>
        </w:rPr>
      </w:pPr>
      <w:r w:rsidRPr="001D2E7D">
        <w:rPr>
          <w:spacing w:val="-4"/>
        </w:rPr>
        <w:t>Při srovnání dlouhodobého vývoje dílčích a celkových nákladů (2006 až 2016) v ČR s výsledky dosaženými v Německu ve spolkové zemi Šlesvicko-Holštýnsko</w:t>
      </w:r>
      <w:r w:rsidRPr="001D2E7D">
        <w:rPr>
          <w:b/>
          <w:i/>
          <w:spacing w:val="-4"/>
        </w:rPr>
        <w:t xml:space="preserve"> </w:t>
      </w:r>
      <w:r w:rsidRPr="001D2E7D">
        <w:rPr>
          <w:spacing w:val="-4"/>
        </w:rPr>
        <w:t>(Thomsen, 2017) je patrné, že celkové náklady byly v Německu vyšší o 18 % (1,60 Kč/l mléka). Ještě větší rozdíl byl oproti celkovým nákladům v Bavorsku, kde v letech 2005 až 2015 byly náklady v průměrné výši 13,68 Kč/l, tj. o 4,74 Kč/l vyšší, než u souboru podniků v ČR (Dorfner a Hofmann, 2017). Průměrné náklady za sedm let (2010 až 2016) byly v USA v přepočtu 10,84 Kč/l (USDA, 2017), čímž dosahují o 1,90 Kč/l a 21 % vyšší úrovně než podniky v ČR.</w:t>
      </w:r>
    </w:p>
    <w:p w:rsidR="001D2E7D" w:rsidRPr="001D2E7D" w:rsidRDefault="001D2E7D" w:rsidP="00640FC5">
      <w:pPr>
        <w:rPr>
          <w:spacing w:val="-4"/>
        </w:rPr>
        <w:sectPr w:rsidR="001D2E7D" w:rsidRPr="001D2E7D" w:rsidSect="001A30E1">
          <w:type w:val="continuous"/>
          <w:pgSz w:w="11906" w:h="16838" w:code="9"/>
          <w:pgMar w:top="1134" w:right="964" w:bottom="1134" w:left="964" w:header="680" w:footer="624" w:gutter="0"/>
          <w:cols w:num="2" w:space="454"/>
          <w:docGrid w:linePitch="360"/>
        </w:sectPr>
      </w:pPr>
    </w:p>
    <w:p w:rsidR="00474B0E" w:rsidRDefault="00474B0E" w:rsidP="00640FC5">
      <w:r w:rsidRPr="007B4C58">
        <w:lastRenderedPageBreak/>
        <w:t xml:space="preserve">Bod zvratu ceny a tržní produkce mléka stanovuje, jakých minimálních požadavků je zapotřebí dosáhnout, aby byl dosažen nulový zisk (tabulka </w:t>
      </w:r>
      <w:r>
        <w:t>5</w:t>
      </w:r>
      <w:r w:rsidRPr="007B4C58">
        <w:t xml:space="preserve">). </w:t>
      </w:r>
      <w:r>
        <w:t xml:space="preserve">Bod zvratu pro rok 2016 vychází při ceně 7,44 Kč/l (včetně dotací). </w:t>
      </w:r>
      <w:r w:rsidRPr="007B4C58">
        <w:t>Při zvýšení tržní produkce musí podnik počítat se zvýšením variabilních nákladů (zejména krmiv) a dle analýzy bodu zvratu by se náklady a příjmy (</w:t>
      </w:r>
      <w:r>
        <w:t>včetně dotací</w:t>
      </w:r>
      <w:r w:rsidRPr="007B4C58">
        <w:t xml:space="preserve">) vyrovnaly při tržní produkci </w:t>
      </w:r>
      <w:r w:rsidRPr="00672720">
        <w:t>10</w:t>
      </w:r>
      <w:r>
        <w:t> </w:t>
      </w:r>
      <w:r w:rsidRPr="00672720">
        <w:t>424</w:t>
      </w:r>
      <w:r>
        <w:t xml:space="preserve"> </w:t>
      </w:r>
      <w:r w:rsidRPr="007B4C58">
        <w:t>litrů mléka od krávy za rok</w:t>
      </w:r>
      <w:r>
        <w:t>. V modelovém odhadu roku 2017 vychází bod zvratu produkce nižší díky růstu ceny mléka.</w:t>
      </w:r>
    </w:p>
    <w:p w:rsidR="00474B0E" w:rsidRPr="00322234" w:rsidRDefault="00474B0E" w:rsidP="00322234"/>
    <w:p w:rsidR="00474B0E" w:rsidRDefault="00474B0E" w:rsidP="00322234">
      <w:pPr>
        <w:pStyle w:val="Nadpis3"/>
      </w:pPr>
      <w:r>
        <w:t xml:space="preserve">Tabulka </w:t>
      </w:r>
      <w:r>
        <w:fldChar w:fldCharType="begin"/>
      </w:r>
      <w:r>
        <w:instrText xml:space="preserve"> SEQ Tabulka \* ARABIC </w:instrText>
      </w:r>
      <w:r>
        <w:fldChar w:fldCharType="separate"/>
      </w:r>
      <w:r w:rsidR="00BA5EE3">
        <w:rPr>
          <w:noProof/>
        </w:rPr>
        <w:t>5</w:t>
      </w:r>
      <w:r>
        <w:rPr>
          <w:noProof/>
        </w:rPr>
        <w:fldChar w:fldCharType="end"/>
      </w:r>
      <w:r>
        <w:t xml:space="preserve">: Bod zvratu a ceny produkce </w:t>
      </w:r>
    </w:p>
    <w:tbl>
      <w:tblPr>
        <w:tblStyle w:val="Mkatabulky"/>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4982"/>
        <w:gridCol w:w="2606"/>
        <w:gridCol w:w="2606"/>
      </w:tblGrid>
      <w:tr w:rsidR="00322234" w:rsidRPr="007B4C58" w:rsidTr="00E77E51">
        <w:tc>
          <w:tcPr>
            <w:tcW w:w="2444" w:type="pct"/>
          </w:tcPr>
          <w:p w:rsidR="00322234" w:rsidRPr="00E77E51" w:rsidRDefault="00322234" w:rsidP="00AD5133">
            <w:pPr>
              <w:spacing w:before="40" w:line="264" w:lineRule="auto"/>
              <w:jc w:val="center"/>
            </w:pPr>
            <w:r w:rsidRPr="00E77E51">
              <w:t>Položka</w:t>
            </w:r>
          </w:p>
        </w:tc>
        <w:tc>
          <w:tcPr>
            <w:tcW w:w="1278" w:type="pct"/>
            <w:shd w:val="clear" w:color="auto" w:fill="DBE5F1" w:themeFill="accent1" w:themeFillTint="33"/>
          </w:tcPr>
          <w:p w:rsidR="00322234" w:rsidRPr="00E77E51" w:rsidRDefault="00322234" w:rsidP="00AD5133">
            <w:pPr>
              <w:spacing w:before="40" w:line="264" w:lineRule="auto"/>
              <w:jc w:val="center"/>
            </w:pPr>
            <w:r w:rsidRPr="00E77E51">
              <w:t>rok 2016</w:t>
            </w:r>
          </w:p>
        </w:tc>
        <w:tc>
          <w:tcPr>
            <w:tcW w:w="1278" w:type="pct"/>
            <w:shd w:val="clear" w:color="auto" w:fill="DBE5F1" w:themeFill="accent1" w:themeFillTint="33"/>
          </w:tcPr>
          <w:p w:rsidR="00322234" w:rsidRPr="00E77E51" w:rsidRDefault="00322234" w:rsidP="00AD5133">
            <w:pPr>
              <w:spacing w:before="40" w:line="264" w:lineRule="auto"/>
              <w:jc w:val="center"/>
            </w:pPr>
            <w:r w:rsidRPr="00E77E51">
              <w:t>model 2017*</w:t>
            </w:r>
          </w:p>
        </w:tc>
      </w:tr>
      <w:tr w:rsidR="00322234" w:rsidRPr="00764876" w:rsidTr="00E77E51">
        <w:tc>
          <w:tcPr>
            <w:tcW w:w="2444" w:type="pct"/>
            <w:shd w:val="clear" w:color="auto" w:fill="DBE5F1" w:themeFill="accent1" w:themeFillTint="33"/>
          </w:tcPr>
          <w:p w:rsidR="00322234" w:rsidRPr="00E77E51" w:rsidRDefault="00322234" w:rsidP="00AD5133">
            <w:pPr>
              <w:spacing w:before="40" w:line="264" w:lineRule="auto"/>
            </w:pPr>
            <w:r w:rsidRPr="00E77E51">
              <w:t>cena mléka (Kč/l)</w:t>
            </w:r>
          </w:p>
        </w:tc>
        <w:tc>
          <w:tcPr>
            <w:tcW w:w="1278" w:type="pct"/>
          </w:tcPr>
          <w:p w:rsidR="00322234" w:rsidRPr="00E77E51" w:rsidRDefault="00322234" w:rsidP="00AD5133">
            <w:pPr>
              <w:spacing w:before="40" w:line="264" w:lineRule="auto"/>
              <w:jc w:val="center"/>
            </w:pPr>
            <w:r w:rsidRPr="00E77E51">
              <w:t>6,80</w:t>
            </w:r>
          </w:p>
        </w:tc>
        <w:tc>
          <w:tcPr>
            <w:tcW w:w="1278" w:type="pct"/>
          </w:tcPr>
          <w:p w:rsidR="00322234" w:rsidRPr="00E77E51" w:rsidRDefault="00322234" w:rsidP="00AD5133">
            <w:pPr>
              <w:spacing w:before="40" w:line="264" w:lineRule="auto"/>
              <w:jc w:val="center"/>
            </w:pPr>
            <w:r w:rsidRPr="00E77E51">
              <w:t>8,31</w:t>
            </w:r>
          </w:p>
        </w:tc>
      </w:tr>
      <w:tr w:rsidR="00322234" w:rsidRPr="00764876" w:rsidTr="00E77E51">
        <w:tc>
          <w:tcPr>
            <w:tcW w:w="2444" w:type="pct"/>
            <w:shd w:val="clear" w:color="auto" w:fill="DBE5F1" w:themeFill="accent1" w:themeFillTint="33"/>
          </w:tcPr>
          <w:p w:rsidR="00322234" w:rsidRPr="00672720" w:rsidRDefault="00322234" w:rsidP="00AD5133">
            <w:pPr>
              <w:spacing w:before="40" w:line="264" w:lineRule="auto"/>
            </w:pPr>
            <w:r w:rsidRPr="00672720">
              <w:t>náklady po odpočtu (Kč/l)</w:t>
            </w:r>
          </w:p>
        </w:tc>
        <w:tc>
          <w:tcPr>
            <w:tcW w:w="1278" w:type="pct"/>
          </w:tcPr>
          <w:p w:rsidR="00322234" w:rsidRPr="00672720" w:rsidRDefault="00322234" w:rsidP="00AD5133">
            <w:pPr>
              <w:spacing w:before="40" w:line="264" w:lineRule="auto"/>
              <w:jc w:val="center"/>
            </w:pPr>
            <w:r w:rsidRPr="00672720">
              <w:t>8,41</w:t>
            </w:r>
          </w:p>
        </w:tc>
        <w:tc>
          <w:tcPr>
            <w:tcW w:w="1278" w:type="pct"/>
          </w:tcPr>
          <w:p w:rsidR="00322234" w:rsidRPr="00672720" w:rsidRDefault="00322234" w:rsidP="00AD5133">
            <w:pPr>
              <w:spacing w:before="40" w:line="264" w:lineRule="auto"/>
              <w:jc w:val="center"/>
            </w:pPr>
            <w:r w:rsidRPr="00672720">
              <w:t>8,41</w:t>
            </w:r>
          </w:p>
        </w:tc>
      </w:tr>
      <w:tr w:rsidR="00322234" w:rsidRPr="00764876" w:rsidTr="00E77E51">
        <w:tc>
          <w:tcPr>
            <w:tcW w:w="2444" w:type="pct"/>
            <w:shd w:val="clear" w:color="auto" w:fill="DBE5F1" w:themeFill="accent1" w:themeFillTint="33"/>
          </w:tcPr>
          <w:p w:rsidR="00322234" w:rsidRPr="00672720" w:rsidRDefault="00322234" w:rsidP="00AD5133">
            <w:pPr>
              <w:spacing w:before="40" w:line="264" w:lineRule="auto"/>
            </w:pPr>
            <w:r w:rsidRPr="00672720">
              <w:t>zisk s dotacemi (Kč/l)</w:t>
            </w:r>
          </w:p>
        </w:tc>
        <w:tc>
          <w:tcPr>
            <w:tcW w:w="1278" w:type="pct"/>
          </w:tcPr>
          <w:p w:rsidR="00322234" w:rsidRPr="00672720" w:rsidRDefault="00322234" w:rsidP="00AD5133">
            <w:pPr>
              <w:spacing w:before="40" w:line="264" w:lineRule="auto"/>
              <w:jc w:val="center"/>
            </w:pPr>
            <w:r w:rsidRPr="00672720">
              <w:t>-0,64</w:t>
            </w:r>
          </w:p>
        </w:tc>
        <w:tc>
          <w:tcPr>
            <w:tcW w:w="1278" w:type="pct"/>
          </w:tcPr>
          <w:p w:rsidR="00322234" w:rsidRPr="00672720" w:rsidRDefault="00322234" w:rsidP="00AD5133">
            <w:pPr>
              <w:spacing w:before="40" w:line="264" w:lineRule="auto"/>
              <w:jc w:val="center"/>
            </w:pPr>
            <w:r>
              <w:t>+0,68</w:t>
            </w:r>
          </w:p>
        </w:tc>
      </w:tr>
      <w:tr w:rsidR="00322234" w:rsidRPr="00764876" w:rsidTr="00E77E51">
        <w:tc>
          <w:tcPr>
            <w:tcW w:w="2444" w:type="pct"/>
            <w:shd w:val="clear" w:color="auto" w:fill="DBE5F1" w:themeFill="accent1" w:themeFillTint="33"/>
          </w:tcPr>
          <w:p w:rsidR="00322234" w:rsidRPr="00672720" w:rsidRDefault="00322234" w:rsidP="00AD5133">
            <w:pPr>
              <w:spacing w:before="40" w:line="264" w:lineRule="auto"/>
            </w:pPr>
            <w:r w:rsidRPr="00672720">
              <w:t>bod zvratu ceny mléka (Kč/l)</w:t>
            </w:r>
          </w:p>
        </w:tc>
        <w:tc>
          <w:tcPr>
            <w:tcW w:w="1278" w:type="pct"/>
          </w:tcPr>
          <w:p w:rsidR="00322234" w:rsidRPr="00672720" w:rsidRDefault="00322234" w:rsidP="00AD5133">
            <w:pPr>
              <w:spacing w:before="40" w:line="264" w:lineRule="auto"/>
              <w:jc w:val="center"/>
            </w:pPr>
            <w:r w:rsidRPr="00672720">
              <w:t>7,44</w:t>
            </w:r>
          </w:p>
        </w:tc>
        <w:tc>
          <w:tcPr>
            <w:tcW w:w="1278" w:type="pct"/>
          </w:tcPr>
          <w:p w:rsidR="00322234" w:rsidRPr="00672720" w:rsidRDefault="00322234" w:rsidP="00AD5133">
            <w:pPr>
              <w:spacing w:before="40" w:line="264" w:lineRule="auto"/>
              <w:jc w:val="center"/>
            </w:pPr>
            <w:r w:rsidRPr="00672720">
              <w:t>7,63</w:t>
            </w:r>
          </w:p>
        </w:tc>
      </w:tr>
      <w:tr w:rsidR="00322234" w:rsidRPr="00764876" w:rsidTr="00E77E51">
        <w:tc>
          <w:tcPr>
            <w:tcW w:w="2444" w:type="pct"/>
            <w:shd w:val="clear" w:color="auto" w:fill="DBE5F1" w:themeFill="accent1" w:themeFillTint="33"/>
          </w:tcPr>
          <w:p w:rsidR="00322234" w:rsidRPr="00672720" w:rsidRDefault="00322234" w:rsidP="00AD5133">
            <w:pPr>
              <w:spacing w:before="40" w:line="264" w:lineRule="auto"/>
            </w:pPr>
            <w:r w:rsidRPr="00672720">
              <w:t xml:space="preserve">bod zvratu produkce mléka </w:t>
            </w:r>
            <w:r>
              <w:t>(l/krávu/rok)</w:t>
            </w:r>
          </w:p>
        </w:tc>
        <w:tc>
          <w:tcPr>
            <w:tcW w:w="1278" w:type="pct"/>
          </w:tcPr>
          <w:p w:rsidR="00322234" w:rsidRPr="00672720" w:rsidRDefault="00322234" w:rsidP="00AD5133">
            <w:pPr>
              <w:spacing w:before="40" w:line="264" w:lineRule="auto"/>
              <w:jc w:val="center"/>
            </w:pPr>
            <w:r w:rsidRPr="00672720">
              <w:t>10 424</w:t>
            </w:r>
          </w:p>
        </w:tc>
        <w:tc>
          <w:tcPr>
            <w:tcW w:w="1278" w:type="pct"/>
          </w:tcPr>
          <w:p w:rsidR="00322234" w:rsidRDefault="00322234" w:rsidP="00AD5133">
            <w:pPr>
              <w:spacing w:before="40" w:line="264" w:lineRule="auto"/>
              <w:jc w:val="center"/>
            </w:pPr>
            <w:r w:rsidRPr="00672720">
              <w:t>6 8</w:t>
            </w:r>
            <w:r>
              <w:t>75</w:t>
            </w:r>
          </w:p>
        </w:tc>
      </w:tr>
    </w:tbl>
    <w:p w:rsidR="00474B0E" w:rsidRDefault="00474B0E" w:rsidP="004A148E">
      <w:pPr>
        <w:spacing w:after="120"/>
        <w:rPr>
          <w:i/>
          <w:sz w:val="18"/>
          <w:szCs w:val="18"/>
        </w:rPr>
      </w:pPr>
      <w:r w:rsidRPr="00640FC5">
        <w:rPr>
          <w:i/>
          <w:sz w:val="18"/>
          <w:szCs w:val="18"/>
        </w:rPr>
        <w:t>* v modelovém propočtu zisku roku 2017 se vychází z  ceny mléka 8,31 Kč/l (1-9/2017, MZe) a následujících dotaci: podpora vázaná na produkci, PVP, dobré životní podmínky zvířat a národní dotace.</w:t>
      </w:r>
    </w:p>
    <w:p w:rsidR="00AD5133" w:rsidRDefault="00AD5133" w:rsidP="00470828">
      <w:pPr>
        <w:spacing w:before="240" w:after="120"/>
      </w:pPr>
      <w:r w:rsidRPr="00322234">
        <w:t>Ekonomické výsledky výroby mléka ovlivňuje řada vnějších a vnitřních faktorů. Mezi nejvýznamnější faktory se řadí cena mléka, cena vstupů (krmiva, práce aj.), roční dojivost, reprodukční ukazatele, výživa a krmení krav, dlouhověkost a obměna stáda, zdravotní stav, úroveň odchovu telat a dotace. Chovatele dojených krav mohou využívat různé dotační tituly. Kromě plateb SAPS, Greening a mladý zemědělec je součástí vícesložkového modelu přímých plateb i dobrovolná podpora vázaná na produkci (VCS) pro tzv. citlivé komodity. Sazba pro rok 2017 pro krávy s tržní produkcí mléka byla stanovena na 3 597 Kč/VDJ (v roce 2016 byla 3 680 Kč/VDJ). Doplňkové platby poskytované k jednotné platbě na plochu jsou přechodné vnitrostátní podpory, PVP (dříve nazývaná jako Top-Up) a jsou plně hrazené ze státního rozpočtu. Z oblasti programu rozvoje venkova (PRV) je pro chovatele dojnic významná platba pro oblasti s přírodními či jinými zvláštními omezeními (LFA) a dotace na dobré životní podmínky zvířat (DŽPZ). Kromě těchto plateb lze čerpat řadu národních dotací, kterými přispívá stát k udržování výrobního potenciálu zemědělství a jeho podílu na rozvoji venkovského prostoru (pro chovatele dojnic jsou významné programy 19 a 20).</w:t>
      </w:r>
    </w:p>
    <w:tbl>
      <w:tblPr>
        <w:tblStyle w:val="Mkatabulky"/>
        <w:tblW w:w="0" w:type="auto"/>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18"/>
      </w:tblGrid>
      <w:tr w:rsidR="00AD5133" w:rsidTr="00AD5133">
        <w:tc>
          <w:tcPr>
            <w:tcW w:w="10118" w:type="dxa"/>
            <w:shd w:val="clear" w:color="auto" w:fill="DBE5F1" w:themeFill="accent1" w:themeFillTint="33"/>
          </w:tcPr>
          <w:p w:rsidR="00AD5133" w:rsidRDefault="00AD5133" w:rsidP="00AD5133">
            <w:pPr>
              <w:ind w:left="57" w:right="170"/>
            </w:pPr>
            <w:r>
              <w:t xml:space="preserve">Vyšší rentability lze dosáhnout zlepšením výrobních a ekonomických ukazatelů (tabulka 6). Kromě ceny mléka, která je chovatelem téměř neovlivnitelná, lze docílit vyššího zisku také zvýšením dojivosti, zvýšením tržní produkce, zlepšením reprodukce projevující se ve vyšším počtu odchovaných telat, snížení obměny stáda či redukcí dílčích nákladových položek, především nepřímých nákladů. </w:t>
            </w:r>
          </w:p>
        </w:tc>
      </w:tr>
    </w:tbl>
    <w:p w:rsidR="00474B0E" w:rsidRDefault="00474B0E" w:rsidP="004A148E">
      <w:pPr>
        <w:spacing w:before="0"/>
        <w:rPr>
          <w:b/>
        </w:rPr>
      </w:pPr>
    </w:p>
    <w:p w:rsidR="00474B0E" w:rsidRDefault="00474B0E" w:rsidP="00AD5133">
      <w:pPr>
        <w:pStyle w:val="Nadpis3"/>
      </w:pPr>
      <w:r>
        <w:t xml:space="preserve">Tabulka </w:t>
      </w:r>
      <w:r>
        <w:fldChar w:fldCharType="begin"/>
      </w:r>
      <w:r>
        <w:instrText xml:space="preserve"> SEQ Tabulka \* ARABIC </w:instrText>
      </w:r>
      <w:r>
        <w:fldChar w:fldCharType="separate"/>
      </w:r>
      <w:r w:rsidR="00BA5EE3">
        <w:rPr>
          <w:noProof/>
        </w:rPr>
        <w:t>6</w:t>
      </w:r>
      <w:r>
        <w:rPr>
          <w:noProof/>
        </w:rPr>
        <w:fldChar w:fldCharType="end"/>
      </w:r>
      <w:r>
        <w:t xml:space="preserve">: </w:t>
      </w:r>
      <w:r w:rsidRPr="00584B77">
        <w:t>Odhad ekonomických přínosů vybraných opatření</w:t>
      </w:r>
      <w:r>
        <w:t xml:space="preserve"> v chovu dojnic</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3572"/>
        <w:gridCol w:w="2667"/>
        <w:gridCol w:w="3955"/>
      </w:tblGrid>
      <w:tr w:rsidR="00474B0E" w:rsidRPr="00584B77" w:rsidTr="00640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584B77" w:rsidRDefault="00474B0E" w:rsidP="00640FC5">
            <w:pPr>
              <w:spacing w:before="40" w:line="264" w:lineRule="auto"/>
              <w:jc w:val="center"/>
              <w:rPr>
                <w:b w:val="0"/>
              </w:rPr>
            </w:pPr>
            <w:r w:rsidRPr="00584B77">
              <w:rPr>
                <w:b w:val="0"/>
              </w:rPr>
              <w:t>Opatření</w:t>
            </w:r>
          </w:p>
        </w:tc>
        <w:tc>
          <w:tcPr>
            <w:tcW w:w="1308" w:type="pct"/>
          </w:tcPr>
          <w:p w:rsidR="00474B0E" w:rsidRPr="00584B77" w:rsidRDefault="00474B0E" w:rsidP="00640FC5">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584B77">
              <w:rPr>
                <w:b w:val="0"/>
              </w:rPr>
              <w:t>Změna</w:t>
            </w:r>
          </w:p>
        </w:tc>
        <w:tc>
          <w:tcPr>
            <w:tcW w:w="1940" w:type="pct"/>
          </w:tcPr>
          <w:p w:rsidR="00474B0E" w:rsidRPr="00584B77" w:rsidRDefault="00474B0E" w:rsidP="00640FC5">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584B77">
              <w:rPr>
                <w:b w:val="0"/>
              </w:rPr>
              <w:t>Přínos v zisku v Kč/krávu/rok*</w:t>
            </w:r>
          </w:p>
        </w:tc>
      </w:tr>
      <w:tr w:rsidR="00474B0E" w:rsidTr="0064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Cena mléka</w:t>
            </w:r>
          </w:p>
        </w:tc>
        <w:tc>
          <w:tcPr>
            <w:tcW w:w="1308"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+ 0,50 Kč/l</w:t>
            </w:r>
          </w:p>
        </w:tc>
        <w:tc>
          <w:tcPr>
            <w:tcW w:w="1940"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+ 4 140</w:t>
            </w:r>
          </w:p>
        </w:tc>
      </w:tr>
      <w:tr w:rsidR="00474B0E" w:rsidTr="00640FC5">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Dojivost</w:t>
            </w:r>
          </w:p>
        </w:tc>
        <w:tc>
          <w:tcPr>
            <w:tcW w:w="1308"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+ 1 000 l/krávu/rok</w:t>
            </w:r>
          </w:p>
        </w:tc>
        <w:tc>
          <w:tcPr>
            <w:tcW w:w="1940"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+ 2 400</w:t>
            </w:r>
          </w:p>
        </w:tc>
      </w:tr>
      <w:tr w:rsidR="00474B0E" w:rsidTr="0064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Tržnost mléka</w:t>
            </w:r>
          </w:p>
        </w:tc>
        <w:tc>
          <w:tcPr>
            <w:tcW w:w="1308"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+ 1 %</w:t>
            </w:r>
          </w:p>
        </w:tc>
        <w:tc>
          <w:tcPr>
            <w:tcW w:w="1940"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+ 580</w:t>
            </w:r>
          </w:p>
        </w:tc>
      </w:tr>
      <w:tr w:rsidR="00474B0E" w:rsidTr="00640FC5">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t>Počet odchovaných</w:t>
            </w:r>
            <w:r w:rsidRPr="00764876">
              <w:t xml:space="preserve"> telat</w:t>
            </w:r>
          </w:p>
        </w:tc>
        <w:tc>
          <w:tcPr>
            <w:tcW w:w="1308"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+ 1 tele/100 krav</w:t>
            </w:r>
          </w:p>
        </w:tc>
        <w:tc>
          <w:tcPr>
            <w:tcW w:w="1940"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+ 30</w:t>
            </w:r>
          </w:p>
        </w:tc>
      </w:tr>
      <w:tr w:rsidR="00474B0E" w:rsidTr="0064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Obměna stáda</w:t>
            </w:r>
          </w:p>
        </w:tc>
        <w:tc>
          <w:tcPr>
            <w:tcW w:w="1308"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- 5 %</w:t>
            </w:r>
          </w:p>
        </w:tc>
        <w:tc>
          <w:tcPr>
            <w:tcW w:w="1940"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+ 360</w:t>
            </w:r>
          </w:p>
        </w:tc>
      </w:tr>
      <w:tr w:rsidR="00474B0E" w:rsidTr="00640FC5">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Cena objemných krmiv</w:t>
            </w:r>
          </w:p>
        </w:tc>
        <w:tc>
          <w:tcPr>
            <w:tcW w:w="1308"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- 5 %</w:t>
            </w:r>
          </w:p>
        </w:tc>
        <w:tc>
          <w:tcPr>
            <w:tcW w:w="1940"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+ 540</w:t>
            </w:r>
          </w:p>
        </w:tc>
      </w:tr>
      <w:tr w:rsidR="00474B0E" w:rsidTr="0064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Cena jadrných krmiv</w:t>
            </w:r>
          </w:p>
        </w:tc>
        <w:tc>
          <w:tcPr>
            <w:tcW w:w="1308"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- 5 %</w:t>
            </w:r>
          </w:p>
        </w:tc>
        <w:tc>
          <w:tcPr>
            <w:tcW w:w="1940"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+ 800</w:t>
            </w:r>
          </w:p>
        </w:tc>
      </w:tr>
      <w:tr w:rsidR="00474B0E" w:rsidTr="00640FC5">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Pracovní náklady</w:t>
            </w:r>
          </w:p>
        </w:tc>
        <w:tc>
          <w:tcPr>
            <w:tcW w:w="1308"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- 5 %</w:t>
            </w:r>
          </w:p>
        </w:tc>
        <w:tc>
          <w:tcPr>
            <w:tcW w:w="1940"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+ 500</w:t>
            </w:r>
          </w:p>
        </w:tc>
      </w:tr>
      <w:tr w:rsidR="00474B0E" w:rsidTr="0064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Režie</w:t>
            </w:r>
          </w:p>
        </w:tc>
        <w:tc>
          <w:tcPr>
            <w:tcW w:w="1308"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- 5 %</w:t>
            </w:r>
          </w:p>
        </w:tc>
        <w:tc>
          <w:tcPr>
            <w:tcW w:w="1940" w:type="pct"/>
          </w:tcPr>
          <w:p w:rsidR="00474B0E" w:rsidRPr="00764876" w:rsidRDefault="00474B0E" w:rsidP="00640FC5">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64876">
              <w:t>+ 420</w:t>
            </w:r>
          </w:p>
        </w:tc>
      </w:tr>
      <w:tr w:rsidR="00474B0E" w:rsidTr="00640FC5">
        <w:tc>
          <w:tcPr>
            <w:cnfStyle w:val="001000000000" w:firstRow="0" w:lastRow="0" w:firstColumn="1" w:lastColumn="0" w:oddVBand="0" w:evenVBand="0" w:oddHBand="0" w:evenHBand="0" w:firstRowFirstColumn="0" w:firstRowLastColumn="0" w:lastRowFirstColumn="0" w:lastRowLastColumn="0"/>
            <w:tcW w:w="1752" w:type="pct"/>
          </w:tcPr>
          <w:p w:rsidR="00474B0E" w:rsidRPr="00764876" w:rsidRDefault="00474B0E" w:rsidP="00640FC5">
            <w:pPr>
              <w:spacing w:before="40" w:line="264" w:lineRule="auto"/>
            </w:pPr>
            <w:r w:rsidRPr="00764876">
              <w:t>Dotace</w:t>
            </w:r>
          </w:p>
        </w:tc>
        <w:tc>
          <w:tcPr>
            <w:tcW w:w="1308" w:type="pct"/>
          </w:tcPr>
          <w:p w:rsidR="00474B0E" w:rsidRPr="00764876"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+ 10 %</w:t>
            </w:r>
          </w:p>
        </w:tc>
        <w:tc>
          <w:tcPr>
            <w:tcW w:w="1940" w:type="pct"/>
          </w:tcPr>
          <w:p w:rsidR="00474B0E" w:rsidRDefault="00474B0E" w:rsidP="00640FC5">
            <w:pPr>
              <w:spacing w:before="40" w:line="264" w:lineRule="auto"/>
              <w:jc w:val="center"/>
              <w:cnfStyle w:val="000000000000" w:firstRow="0" w:lastRow="0" w:firstColumn="0" w:lastColumn="0" w:oddVBand="0" w:evenVBand="0" w:oddHBand="0" w:evenHBand="0" w:firstRowFirstColumn="0" w:firstRowLastColumn="0" w:lastRowFirstColumn="0" w:lastRowLastColumn="0"/>
            </w:pPr>
            <w:r w:rsidRPr="00764876">
              <w:t>+ 810</w:t>
            </w:r>
          </w:p>
        </w:tc>
      </w:tr>
    </w:tbl>
    <w:p w:rsidR="00474B0E" w:rsidRPr="004A148E" w:rsidRDefault="00474B0E" w:rsidP="00474B0E">
      <w:pPr>
        <w:rPr>
          <w:b/>
          <w:i/>
          <w:sz w:val="18"/>
          <w:szCs w:val="18"/>
        </w:rPr>
      </w:pPr>
      <w:r w:rsidRPr="004A148E">
        <w:rPr>
          <w:i/>
          <w:sz w:val="18"/>
          <w:szCs w:val="18"/>
        </w:rPr>
        <w:t>*vlastní výpočty, údaje roku 2016</w:t>
      </w:r>
    </w:p>
    <w:p w:rsidR="00474B0E" w:rsidRPr="00470828" w:rsidRDefault="00474B0E" w:rsidP="00EE6062">
      <w:pPr>
        <w:pStyle w:val="Nadpis2"/>
        <w:rPr>
          <w:color w:val="244061" w:themeColor="accent1" w:themeShade="80"/>
        </w:rPr>
      </w:pPr>
      <w:bookmarkStart w:id="27" w:name="_Toc497823120"/>
      <w:bookmarkStart w:id="28" w:name="_Toc497823599"/>
      <w:bookmarkStart w:id="29" w:name="_Toc497823694"/>
      <w:bookmarkStart w:id="30" w:name="_Toc497884732"/>
      <w:r w:rsidRPr="00470828">
        <w:rPr>
          <w:color w:val="244061" w:themeColor="accent1" w:themeShade="80"/>
        </w:rPr>
        <w:lastRenderedPageBreak/>
        <w:t>Závěr</w:t>
      </w:r>
      <w:bookmarkEnd w:id="27"/>
      <w:bookmarkEnd w:id="28"/>
      <w:bookmarkEnd w:id="29"/>
      <w:bookmarkEnd w:id="30"/>
    </w:p>
    <w:p w:rsidR="00474B0E" w:rsidRPr="00EE6062" w:rsidRDefault="00474B0E" w:rsidP="00EE6062">
      <w:r w:rsidRPr="00EE6062">
        <w:t>Ekonomický výsledek českého zemědělství za rok 2016 představoval zisk ve výši 20,2 mld. Kč, což je zvýšení oproti minulému roku, kdy dosahoval hodnoty 16,9 mld. Kč. Jde o druhý nejlepší výsledek od roku 2000. Vyššího zisku bylo dosaženo pouze v roce 2014. Důležitou součástí agrárního sektoru je chov dojeného skotu, resp. výroba mléka. V roce 2016 se v ČR celková výroba mléka meziročně zvýšila o 38 mil. litrů a 1,3 % a</w:t>
      </w:r>
      <w:r w:rsidRPr="00EE6062">
        <w:rPr>
          <w:b/>
        </w:rPr>
        <w:t xml:space="preserve"> </w:t>
      </w:r>
      <w:r w:rsidRPr="00EE6062">
        <w:t>mléko se ve finančním vyjádření podílelo 47 % na produkci živočišné výroby a 17 % na celkové produkci zemědělského odvětví, což hovoří o významu tohoto odvětví v zemědělském sektoru. Z pohledu ostatních států EU patří ČR dojivostí mezi nadprůměrné (v první polovině roku 2017 dojivost ještě vzrostla), avšak nákupní cenou se řadí mezi státy s nejnižší cenou v rámci EU. Pro udržení a další rozvoj chovu je nezbytné, aby ekonomickým výsledkem výroby mléka bylo dosažení adekvátní úrovně zisku, který je cílem každého podnikání a bez kterého by nebyl chov z dlouhodobého pohledu udržitelný. Nákladové šetření výroby mléka prováděné ve Výzkumném ústavu živočišné výroby za rok 2016 u 103 podniků poukázalo na celkové náklady výroby mléka ve výši 8,88 Kč/l. Chovatelé dojeného skotu se v roce 2016 stále vypořádávali s přetrvávající mléčnou krizí, ve které nízké ceny mléka způsobovaly ztrátovost produkce. I při zohlednění dotací byla v průměru u souboru podniků ztráta 0,64 Kč/l. Analýzou dat byla prokázána závislost nákladů a zisku na tržní produkci, velikosti podniku, chovaném plemeni a výrobní oblasti. Podle prvních odhadů se dá vlivem růstu ceny mléka odhadovat kladný zisk chovu dojeného skotu za rok 2017.</w:t>
      </w:r>
    </w:p>
    <w:p w:rsidR="00EE6062" w:rsidRDefault="00EE6062" w:rsidP="00EE6062"/>
    <w:tbl>
      <w:tblPr>
        <w:tblStyle w:val="Svtlstnovnzvraznn1"/>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tblBorders>
        <w:shd w:val="clear" w:color="auto" w:fill="DBE5F1" w:themeFill="accent1" w:themeFillTint="33"/>
        <w:tblLook w:val="04A0" w:firstRow="1" w:lastRow="0" w:firstColumn="1" w:lastColumn="0" w:noHBand="0" w:noVBand="1"/>
      </w:tblPr>
      <w:tblGrid>
        <w:gridCol w:w="10118"/>
      </w:tblGrid>
      <w:tr w:rsidR="00EE6062" w:rsidRPr="00E77E51" w:rsidTr="00EE6062">
        <w:trPr>
          <w:cnfStyle w:val="100000000000" w:firstRow="1" w:lastRow="0" w:firstColumn="0" w:lastColumn="0" w:oddVBand="0" w:evenVBand="0" w:oddHBand="0"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0118" w:type="dxa"/>
            <w:shd w:val="clear" w:color="auto" w:fill="DBE5F1" w:themeFill="accent1" w:themeFillTint="33"/>
            <w:vAlign w:val="center"/>
          </w:tcPr>
          <w:p w:rsidR="00EE6062" w:rsidRPr="00E77E51" w:rsidRDefault="00EE6062" w:rsidP="00EE6062">
            <w:pPr>
              <w:ind w:left="57" w:right="170"/>
              <w:rPr>
                <w:b w:val="0"/>
              </w:rPr>
            </w:pPr>
            <w:r w:rsidRPr="00E77E51">
              <w:rPr>
                <w:b w:val="0"/>
              </w:rPr>
              <w:t>Nestabilní tržní situace, projevující se kolísáním tržních cen, nutí chovatele hledat rezervy a snažit se optimalizovat svojí produkci. Kromě cíle v oblasti redukce nákladů a vyšší užitkovosti by se však měl chovatel zabývat také analýzou dalších ukazatelů a na jejich základě přijímat opatření směřující k vyšší efektivitě ve výrobě mléka. K lepšímu pochopení svých rezerv přispěje srovnání vlastních výsledků s průměrnými hodnotami a také s nejlepšími podniky.</w:t>
            </w:r>
          </w:p>
        </w:tc>
      </w:tr>
    </w:tbl>
    <w:p w:rsidR="00EE6062" w:rsidRDefault="00EE6062" w:rsidP="00EE6062"/>
    <w:p w:rsidR="00474B0E" w:rsidRPr="00EE6062" w:rsidRDefault="00474B0E" w:rsidP="00474B0E">
      <w:pPr>
        <w:rPr>
          <w:szCs w:val="24"/>
        </w:rPr>
      </w:pPr>
      <w:r w:rsidRPr="00EE6062">
        <w:rPr>
          <w:szCs w:val="24"/>
        </w:rPr>
        <w:t>Příspěvek byl zpracován v rámci řešení projektu MZERO0714.</w:t>
      </w:r>
    </w:p>
    <w:p w:rsidR="001152A3" w:rsidRDefault="001152A3" w:rsidP="00470828"/>
    <w:p w:rsidR="00953CD0" w:rsidRDefault="00953CD0" w:rsidP="001446F2"/>
    <w:p w:rsidR="003F7148" w:rsidRDefault="003F7148" w:rsidP="001446F2"/>
    <w:p w:rsidR="00EE6062" w:rsidRDefault="00EE6062" w:rsidP="003F7148">
      <w:pPr>
        <w:pStyle w:val="Nadpis1"/>
        <w:spacing w:before="0"/>
        <w:sectPr w:rsidR="00EE6062" w:rsidSect="001A30E1">
          <w:type w:val="continuous"/>
          <w:pgSz w:w="11906" w:h="16838" w:code="9"/>
          <w:pgMar w:top="1134" w:right="964" w:bottom="1134" w:left="964" w:header="680" w:footer="624" w:gutter="0"/>
          <w:cols w:space="708"/>
          <w:docGrid w:linePitch="360"/>
        </w:sectPr>
      </w:pPr>
    </w:p>
    <w:tbl>
      <w:tblPr>
        <w:tblW w:w="0" w:type="auto"/>
        <w:tblLook w:val="04A0" w:firstRow="1" w:lastRow="0" w:firstColumn="1" w:lastColumn="0" w:noHBand="0" w:noVBand="1"/>
      </w:tblPr>
      <w:tblGrid>
        <w:gridCol w:w="5211"/>
        <w:gridCol w:w="851"/>
        <w:gridCol w:w="4056"/>
      </w:tblGrid>
      <w:tr w:rsidR="00DD65A2" w:rsidRPr="00CA7B66" w:rsidTr="00792882">
        <w:tc>
          <w:tcPr>
            <w:tcW w:w="5211" w:type="dxa"/>
          </w:tcPr>
          <w:p w:rsidR="00DD65A2" w:rsidRPr="00CA7B66" w:rsidRDefault="00CA7B66" w:rsidP="00CA7B66">
            <w:pPr>
              <w:pStyle w:val="Nadpis1"/>
              <w:spacing w:before="0" w:after="0" w:line="240" w:lineRule="auto"/>
            </w:pPr>
            <w:bookmarkStart w:id="31" w:name="_Toc497823121"/>
            <w:bookmarkStart w:id="32" w:name="_Toc497823600"/>
            <w:bookmarkStart w:id="33" w:name="_Toc497884733"/>
            <w:r w:rsidRPr="00CA7B66">
              <w:rPr>
                <w:caps w:val="0"/>
              </w:rPr>
              <w:lastRenderedPageBreak/>
              <w:t>EKONOMICKÉ UKAZATELE ODCHOVU</w:t>
            </w:r>
            <w:bookmarkEnd w:id="31"/>
            <w:bookmarkEnd w:id="32"/>
            <w:bookmarkEnd w:id="33"/>
            <w:r w:rsidRPr="00CA7B66">
              <w:rPr>
                <w:caps w:val="0"/>
              </w:rPr>
              <w:t xml:space="preserve"> </w:t>
            </w:r>
          </w:p>
        </w:tc>
        <w:tc>
          <w:tcPr>
            <w:tcW w:w="4907" w:type="dxa"/>
            <w:gridSpan w:val="2"/>
            <w:shd w:val="clear" w:color="auto" w:fill="A6A6A6" w:themeFill="background1" w:themeFillShade="A6"/>
          </w:tcPr>
          <w:p w:rsidR="00DD65A2" w:rsidRPr="00CA7B66" w:rsidRDefault="00DD65A2" w:rsidP="00DD65A2"/>
        </w:tc>
      </w:tr>
      <w:tr w:rsidR="00CA7B66" w:rsidRPr="00CA7B66" w:rsidTr="00CA7B66">
        <w:tc>
          <w:tcPr>
            <w:tcW w:w="6062" w:type="dxa"/>
            <w:gridSpan w:val="2"/>
          </w:tcPr>
          <w:p w:rsidR="00CA7B66" w:rsidRPr="00CA7B66" w:rsidRDefault="00CA7B66" w:rsidP="00DC5C70">
            <w:pPr>
              <w:pStyle w:val="Nadpis2"/>
              <w:spacing w:before="40" w:line="240" w:lineRule="auto"/>
              <w:rPr>
                <w:sz w:val="28"/>
                <w:szCs w:val="28"/>
              </w:rPr>
            </w:pPr>
            <w:bookmarkStart w:id="34" w:name="_Toc497823122"/>
            <w:bookmarkStart w:id="35" w:name="_Toc497823601"/>
            <w:bookmarkStart w:id="36" w:name="_Toc497884734"/>
            <w:r w:rsidRPr="00CA7B66">
              <w:rPr>
                <w:sz w:val="28"/>
                <w:szCs w:val="28"/>
              </w:rPr>
              <w:t>A HLAVNÍCH PRODUKČNÍCH NEMOCÍ TELAT</w:t>
            </w:r>
            <w:bookmarkEnd w:id="34"/>
            <w:bookmarkEnd w:id="35"/>
            <w:bookmarkEnd w:id="36"/>
          </w:p>
        </w:tc>
        <w:tc>
          <w:tcPr>
            <w:tcW w:w="4056" w:type="dxa"/>
          </w:tcPr>
          <w:p w:rsidR="00CA7B66" w:rsidRPr="00CA7B66" w:rsidRDefault="00CA7B66" w:rsidP="00DD65A2"/>
        </w:tc>
      </w:tr>
    </w:tbl>
    <w:p w:rsidR="003F7148" w:rsidRPr="00515243" w:rsidRDefault="003F7148" w:rsidP="003F7148">
      <w:pPr>
        <w:pStyle w:val="Nadpis2"/>
        <w:rPr>
          <w:sz w:val="22"/>
          <w:szCs w:val="22"/>
        </w:rPr>
      </w:pPr>
      <w:bookmarkStart w:id="37" w:name="_Toc497823123"/>
      <w:bookmarkStart w:id="38" w:name="_Toc497823602"/>
      <w:bookmarkStart w:id="39" w:name="_Toc497884735"/>
      <w:r w:rsidRPr="00515243">
        <w:rPr>
          <w:sz w:val="22"/>
          <w:szCs w:val="22"/>
        </w:rPr>
        <w:t>Ing. Jindřich Kvapilík, DrSc.</w:t>
      </w:r>
      <w:bookmarkEnd w:id="37"/>
      <w:bookmarkEnd w:id="38"/>
      <w:bookmarkEnd w:id="39"/>
    </w:p>
    <w:p w:rsidR="003F7148" w:rsidRPr="00515243" w:rsidRDefault="003F7148" w:rsidP="00BF02A0">
      <w:pPr>
        <w:pStyle w:val="Nadpis3"/>
        <w:spacing w:after="240"/>
        <w:rPr>
          <w:szCs w:val="20"/>
        </w:rPr>
      </w:pPr>
      <w:r w:rsidRPr="00515243">
        <w:rPr>
          <w:szCs w:val="20"/>
        </w:rPr>
        <w:t>Výzkumný ústav živočišné výroby, v.v.i. Praha Uhříněves</w:t>
      </w:r>
    </w:p>
    <w:tbl>
      <w:tblPr>
        <w:tblStyle w:val="Mkatabulky"/>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18"/>
      </w:tblGrid>
      <w:tr w:rsidR="00BF02A0" w:rsidTr="00BF02A0">
        <w:tc>
          <w:tcPr>
            <w:tcW w:w="10118" w:type="dxa"/>
            <w:shd w:val="clear" w:color="auto" w:fill="F2F2F2" w:themeFill="background1" w:themeFillShade="F2"/>
          </w:tcPr>
          <w:p w:rsidR="00BF02A0" w:rsidRPr="00BF02A0" w:rsidRDefault="00BF02A0" w:rsidP="00BF02A0">
            <w:pPr>
              <w:ind w:left="113" w:right="170"/>
              <w:rPr>
                <w:bCs/>
              </w:rPr>
            </w:pPr>
            <w:r w:rsidRPr="00992726">
              <w:rPr>
                <w:szCs w:val="24"/>
              </w:rPr>
              <w:t xml:space="preserve">Tradičně a v souladu </w:t>
            </w:r>
            <w:r w:rsidRPr="00992726">
              <w:rPr>
                <w:bCs/>
                <w:szCs w:val="24"/>
              </w:rPr>
              <w:t xml:space="preserve">se Směrnicí rady 2008/119/ES se </w:t>
            </w:r>
            <w:r w:rsidRPr="00992726">
              <w:rPr>
                <w:szCs w:val="24"/>
              </w:rPr>
              <w:t xml:space="preserve">jako </w:t>
            </w:r>
            <w:r w:rsidRPr="00992726">
              <w:rPr>
                <w:i/>
                <w:szCs w:val="24"/>
              </w:rPr>
              <w:t>„telata“</w:t>
            </w:r>
            <w:r w:rsidRPr="00992726">
              <w:rPr>
                <w:szCs w:val="24"/>
              </w:rPr>
              <w:t xml:space="preserve"> označují jalovičky a</w:t>
            </w:r>
            <w:r w:rsidRPr="00992726">
              <w:t xml:space="preserve"> </w:t>
            </w:r>
            <w:r w:rsidRPr="00C0349D">
              <w:rPr>
                <w:spacing w:val="-2"/>
              </w:rPr>
              <w:t>býčci do šesti měsíců věku. Tento věk zahrnuje období mlezivové (obvykle do 8 až 10 dnů</w:t>
            </w:r>
            <w:r w:rsidRPr="00411D3C">
              <w:rPr>
                <w:spacing w:val="-2"/>
              </w:rPr>
              <w:t>), mléčné výživy (do odstavu, resp. 6 až 10 týdnů) a rostlinné výživy (od</w:t>
            </w:r>
            <w:r w:rsidRPr="00992726">
              <w:t xml:space="preserve"> odstavu do šesti měsíců věku). </w:t>
            </w:r>
            <w:r w:rsidRPr="00985BB1">
              <w:rPr>
                <w:color w:val="222222"/>
              </w:rPr>
              <w:t xml:space="preserve">Odchov telat je </w:t>
            </w:r>
            <w:r>
              <w:rPr>
                <w:color w:val="222222"/>
              </w:rPr>
              <w:t>z</w:t>
            </w:r>
            <w:r w:rsidRPr="002D269E">
              <w:rPr>
                <w:color w:val="222222"/>
                <w:spacing w:val="-2"/>
              </w:rPr>
              <w:t xml:space="preserve"> hlediska managementu, spotřeby </w:t>
            </w:r>
            <w:r>
              <w:rPr>
                <w:color w:val="222222"/>
                <w:spacing w:val="-2"/>
              </w:rPr>
              <w:t xml:space="preserve">a organizace </w:t>
            </w:r>
            <w:r w:rsidRPr="002D269E">
              <w:rPr>
                <w:color w:val="222222"/>
                <w:spacing w:val="-2"/>
              </w:rPr>
              <w:t xml:space="preserve">práce, kvality krmiv, </w:t>
            </w:r>
            <w:r w:rsidRPr="005F3B43">
              <w:rPr>
                <w:color w:val="222222"/>
                <w:spacing w:val="-2"/>
              </w:rPr>
              <w:t xml:space="preserve">prevence a kontroly zdraví, technologie a techniky chovu, nákladů aj. citlivým </w:t>
            </w:r>
            <w:r w:rsidRPr="005F3B43">
              <w:rPr>
                <w:spacing w:val="-2"/>
              </w:rPr>
              <w:t>a náročným</w:t>
            </w:r>
            <w:r w:rsidRPr="00F45EDF">
              <w:rPr>
                <w:spacing w:val="-2"/>
              </w:rPr>
              <w:t xml:space="preserve"> první</w:t>
            </w:r>
            <w:r>
              <w:rPr>
                <w:spacing w:val="-2"/>
              </w:rPr>
              <w:t>m</w:t>
            </w:r>
            <w:r w:rsidRPr="00F45EDF">
              <w:rPr>
                <w:spacing w:val="-2"/>
              </w:rPr>
              <w:t xml:space="preserve"> období</w:t>
            </w:r>
            <w:r>
              <w:rPr>
                <w:spacing w:val="-2"/>
              </w:rPr>
              <w:t>m</w:t>
            </w:r>
            <w:r w:rsidRPr="00F45EDF">
              <w:rPr>
                <w:spacing w:val="-2"/>
              </w:rPr>
              <w:t xml:space="preserve"> produkce březích jalovic </w:t>
            </w:r>
            <w:r>
              <w:rPr>
                <w:spacing w:val="-2"/>
              </w:rPr>
              <w:t xml:space="preserve">a </w:t>
            </w:r>
            <w:r w:rsidRPr="00F45EDF">
              <w:rPr>
                <w:spacing w:val="-2"/>
              </w:rPr>
              <w:t>prvotelek</w:t>
            </w:r>
            <w:r w:rsidRPr="002F66BF">
              <w:t xml:space="preserve"> </w:t>
            </w:r>
            <w:r>
              <w:t>k obměně stáda dojených krav.</w:t>
            </w:r>
            <w:r w:rsidRPr="00165799">
              <w:rPr>
                <w:bCs/>
              </w:rPr>
              <w:t xml:space="preserve"> </w:t>
            </w:r>
          </w:p>
        </w:tc>
      </w:tr>
    </w:tbl>
    <w:p w:rsidR="00DD65A2" w:rsidRDefault="00DD65A2" w:rsidP="00DD65A2">
      <w:pPr>
        <w:rPr>
          <w:spacing w:val="-2"/>
        </w:rPr>
      </w:pPr>
      <w:r w:rsidRPr="006A429B">
        <w:t xml:space="preserve">V ČR se v roce 2016 na 100 krav narodilo 98,0 telat, bylo odchováno 91,9 telat (z toho </w:t>
      </w:r>
      <w:r>
        <w:t>kolem</w:t>
      </w:r>
      <w:r w:rsidRPr="006A429B">
        <w:t xml:space="preserve"> 46 jaloviček) a uhynulo 6,2 % telat</w:t>
      </w:r>
      <w:r>
        <w:t xml:space="preserve"> z narozených</w:t>
      </w:r>
      <w:r w:rsidRPr="006A429B">
        <w:t xml:space="preserve"> (</w:t>
      </w:r>
      <w:r w:rsidRPr="006A429B">
        <w:rPr>
          <w:i/>
        </w:rPr>
        <w:t>ČSÚ</w:t>
      </w:r>
      <w:r w:rsidRPr="006A429B">
        <w:t>). V kontrolním roce 2015/1</w:t>
      </w:r>
      <w:r>
        <w:t>6</w:t>
      </w:r>
      <w:r w:rsidRPr="006A429B">
        <w:t xml:space="preserve"> </w:t>
      </w:r>
      <w:r w:rsidRPr="00202507">
        <w:rPr>
          <w:spacing w:val="-2"/>
        </w:rPr>
        <w:t>bylo z chovu vyřazeno 35 % krav a březost jalovic po všech inseminacích dosáhla kolem 60</w:t>
      </w:r>
      <w:r w:rsidRPr="008D4CAB">
        <w:rPr>
          <w:spacing w:val="-2"/>
        </w:rPr>
        <w:t xml:space="preserve"> % </w:t>
      </w:r>
      <w:r w:rsidRPr="00316715">
        <w:rPr>
          <w:spacing w:val="-2"/>
        </w:rPr>
        <w:t>(</w:t>
      </w:r>
      <w:r w:rsidRPr="00316715">
        <w:rPr>
          <w:i/>
          <w:spacing w:val="-2"/>
        </w:rPr>
        <w:t>ČMSCH</w:t>
      </w:r>
      <w:r w:rsidRPr="00316715">
        <w:rPr>
          <w:spacing w:val="-2"/>
        </w:rPr>
        <w:t>). Při vysoké variabilitě těchto ukazatelů nelze vyloučit situaci, že v některých</w:t>
      </w:r>
      <w:r>
        <w:t xml:space="preserve"> </w:t>
      </w:r>
      <w:r w:rsidRPr="005D6388">
        <w:rPr>
          <w:spacing w:val="-4"/>
        </w:rPr>
        <w:t>chovech s výrobou mléka může být zajištění prosté obměny stáda krav obtížným úkolem (tab.</w:t>
      </w:r>
      <w:r>
        <w:rPr>
          <w:spacing w:val="-2"/>
        </w:rPr>
        <w:t xml:space="preserve"> 1)</w:t>
      </w:r>
      <w:r w:rsidRPr="007952B8">
        <w:rPr>
          <w:spacing w:val="-2"/>
        </w:rPr>
        <w:t xml:space="preserve">. </w:t>
      </w:r>
      <w:r>
        <w:rPr>
          <w:spacing w:val="-2"/>
        </w:rPr>
        <w:t xml:space="preserve">Proto by cílem chovatelů mělo být soustavné zlepšování podmínek odchovu telat a jejich zdravotního stavu. </w:t>
      </w:r>
      <w:r w:rsidRPr="00411D3C">
        <w:rPr>
          <w:spacing w:val="-2"/>
        </w:rPr>
        <w:t xml:space="preserve">Na </w:t>
      </w:r>
      <w:r>
        <w:rPr>
          <w:spacing w:val="-2"/>
        </w:rPr>
        <w:t xml:space="preserve">některé možnosti dosažení tohoto stavu poukazuje i tento </w:t>
      </w:r>
      <w:r w:rsidRPr="00DD5582">
        <w:rPr>
          <w:spacing w:val="-2"/>
        </w:rPr>
        <w:t>příspěvek.</w:t>
      </w:r>
    </w:p>
    <w:p w:rsidR="00DD65A2" w:rsidRDefault="00DD65A2" w:rsidP="00DD65A2">
      <w:pPr>
        <w:spacing w:line="120" w:lineRule="auto"/>
        <w:rPr>
          <w:spacing w:val="-2"/>
        </w:rPr>
      </w:pPr>
    </w:p>
    <w:p w:rsidR="00DD65A2" w:rsidRDefault="00DD65A2" w:rsidP="00BF02A0">
      <w:pPr>
        <w:pStyle w:val="Nadpis3"/>
      </w:pPr>
      <w:r>
        <w:t>Tab. 1 Potřeba telat - jaloviček pro zařazení do odchovu pro prostou obměnu stáda</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451"/>
        <w:gridCol w:w="1247"/>
        <w:gridCol w:w="1248"/>
        <w:gridCol w:w="1248"/>
        <w:gridCol w:w="1250"/>
        <w:gridCol w:w="1248"/>
        <w:gridCol w:w="1248"/>
        <w:gridCol w:w="1254"/>
      </w:tblGrid>
      <w:tr w:rsidR="00DD65A2" w:rsidRPr="0048120F" w:rsidTr="008256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Default="00DD65A2" w:rsidP="00BF02A0">
            <w:pPr>
              <w:spacing w:before="40" w:line="264" w:lineRule="auto"/>
              <w:jc w:val="center"/>
              <w:rPr>
                <w:b w:val="0"/>
                <w:color w:val="222222"/>
              </w:rPr>
            </w:pPr>
            <w:r>
              <w:rPr>
                <w:b w:val="0"/>
                <w:color w:val="222222"/>
              </w:rPr>
              <w:t>Ztráty</w:t>
            </w:r>
            <w:r>
              <w:rPr>
                <w:b w:val="0"/>
                <w:color w:val="222222"/>
                <w:vertAlign w:val="superscript"/>
              </w:rPr>
              <w:t>1)</w:t>
            </w:r>
            <w:r>
              <w:rPr>
                <w:b w:val="0"/>
                <w:color w:val="222222"/>
              </w:rPr>
              <w:t xml:space="preserve"> </w:t>
            </w:r>
          </w:p>
          <w:p w:rsidR="00DD65A2" w:rsidRPr="0048120F" w:rsidRDefault="00DD65A2" w:rsidP="00BF02A0">
            <w:pPr>
              <w:spacing w:before="40" w:line="264" w:lineRule="auto"/>
              <w:jc w:val="center"/>
              <w:rPr>
                <w:b w:val="0"/>
                <w:color w:val="222222"/>
              </w:rPr>
            </w:pPr>
            <w:r>
              <w:rPr>
                <w:b w:val="0"/>
                <w:color w:val="222222"/>
              </w:rPr>
              <w:t>(%)</w:t>
            </w:r>
          </w:p>
        </w:tc>
        <w:tc>
          <w:tcPr>
            <w:tcW w:w="4288" w:type="pct"/>
            <w:gridSpan w:val="7"/>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1D12F5" w:rsidRDefault="00DD65A2" w:rsidP="00BF02A0">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color w:val="222222"/>
              </w:rPr>
            </w:pPr>
            <w:r w:rsidRPr="001D12F5">
              <w:rPr>
                <w:b w:val="0"/>
                <w:color w:val="222222"/>
              </w:rPr>
              <w:t>potřeba novorozených telat k obměně stáda krav (%)</w:t>
            </w:r>
          </w:p>
        </w:tc>
      </w:tr>
      <w:tr w:rsidR="00792882" w:rsidRPr="0048120F" w:rsidTr="00825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vMerge/>
            <w:tcBorders>
              <w:left w:val="none" w:sz="0" w:space="0" w:color="auto"/>
              <w:right w:val="none" w:sz="0" w:space="0" w:color="auto"/>
            </w:tcBorders>
            <w:shd w:val="clear" w:color="auto" w:fill="auto"/>
            <w:vAlign w:val="center"/>
          </w:tcPr>
          <w:p w:rsidR="00DD65A2" w:rsidRPr="0048120F" w:rsidRDefault="00DD65A2" w:rsidP="00BF02A0">
            <w:pPr>
              <w:spacing w:before="40" w:line="264" w:lineRule="auto"/>
              <w:jc w:val="center"/>
              <w:rPr>
                <w:b w:val="0"/>
                <w:color w:val="222222"/>
              </w:rPr>
            </w:pPr>
          </w:p>
        </w:tc>
        <w:tc>
          <w:tcPr>
            <w:tcW w:w="612"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20</w:t>
            </w:r>
          </w:p>
        </w:tc>
        <w:tc>
          <w:tcPr>
            <w:tcW w:w="612"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25</w:t>
            </w:r>
          </w:p>
        </w:tc>
        <w:tc>
          <w:tcPr>
            <w:tcW w:w="612"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30</w:t>
            </w:r>
          </w:p>
        </w:tc>
        <w:tc>
          <w:tcPr>
            <w:tcW w:w="613"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35</w:t>
            </w:r>
          </w:p>
        </w:tc>
        <w:tc>
          <w:tcPr>
            <w:tcW w:w="612"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40</w:t>
            </w:r>
          </w:p>
        </w:tc>
        <w:tc>
          <w:tcPr>
            <w:tcW w:w="612"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45</w:t>
            </w:r>
          </w:p>
        </w:tc>
        <w:tc>
          <w:tcPr>
            <w:tcW w:w="615" w:type="pct"/>
            <w:tcBorders>
              <w:left w:val="none" w:sz="0" w:space="0" w:color="auto"/>
              <w:right w:val="none" w:sz="0" w:space="0" w:color="auto"/>
            </w:tcBorders>
            <w:shd w:val="clear" w:color="auto" w:fill="F2F2F2" w:themeFill="background1" w:themeFillShade="F2"/>
            <w:vAlign w:val="center"/>
          </w:tcPr>
          <w:p w:rsidR="00DD65A2" w:rsidRPr="00744FCE"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sidRPr="00744FCE">
              <w:rPr>
                <w:color w:val="222222"/>
              </w:rPr>
              <w:t>50</w:t>
            </w:r>
          </w:p>
        </w:tc>
      </w:tr>
      <w:tr w:rsidR="00DD65A2" w:rsidRPr="0048120F" w:rsidTr="0082563A">
        <w:trPr>
          <w:trHeight w:val="20"/>
        </w:trPr>
        <w:tc>
          <w:tcPr>
            <w:cnfStyle w:val="001000000000" w:firstRow="0" w:lastRow="0" w:firstColumn="1" w:lastColumn="0" w:oddVBand="0" w:evenVBand="0" w:oddHBand="0" w:evenHBand="0" w:firstRowFirstColumn="0" w:firstRowLastColumn="0" w:lastRowFirstColumn="0" w:lastRowLastColumn="0"/>
            <w:tcW w:w="712" w:type="pct"/>
            <w:shd w:val="clear" w:color="auto" w:fill="F2F2F2" w:themeFill="background1" w:themeFillShade="F2"/>
          </w:tcPr>
          <w:p w:rsidR="00DD65A2" w:rsidRPr="001D12F5" w:rsidRDefault="00DD65A2" w:rsidP="00BF02A0">
            <w:pPr>
              <w:spacing w:before="40" w:line="264" w:lineRule="auto"/>
              <w:jc w:val="center"/>
              <w:rPr>
                <w:b w:val="0"/>
                <w:color w:val="222222"/>
              </w:rPr>
            </w:pPr>
            <w:r w:rsidRPr="001D12F5">
              <w:rPr>
                <w:b w:val="0"/>
                <w:color w:val="222222"/>
              </w:rPr>
              <w:t>10</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22</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28</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33</w:t>
            </w:r>
          </w:p>
        </w:tc>
        <w:tc>
          <w:tcPr>
            <w:tcW w:w="613"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39</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44</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50</w:t>
            </w:r>
          </w:p>
        </w:tc>
        <w:tc>
          <w:tcPr>
            <w:tcW w:w="615"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56</w:t>
            </w:r>
          </w:p>
        </w:tc>
      </w:tr>
      <w:tr w:rsidR="00DD65A2" w:rsidRPr="0048120F" w:rsidTr="00825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left w:val="none" w:sz="0" w:space="0" w:color="auto"/>
              <w:right w:val="none" w:sz="0" w:space="0" w:color="auto"/>
            </w:tcBorders>
            <w:shd w:val="clear" w:color="auto" w:fill="F2F2F2" w:themeFill="background1" w:themeFillShade="F2"/>
          </w:tcPr>
          <w:p w:rsidR="00DD65A2" w:rsidRPr="001D12F5" w:rsidRDefault="00DD65A2" w:rsidP="00BF02A0">
            <w:pPr>
              <w:spacing w:before="40" w:line="264" w:lineRule="auto"/>
              <w:jc w:val="center"/>
              <w:rPr>
                <w:b w:val="0"/>
                <w:color w:val="222222"/>
              </w:rPr>
            </w:pPr>
            <w:r w:rsidRPr="001D12F5">
              <w:rPr>
                <w:b w:val="0"/>
                <w:color w:val="222222"/>
              </w:rPr>
              <w:t>15</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24</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29</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35</w:t>
            </w:r>
          </w:p>
        </w:tc>
        <w:tc>
          <w:tcPr>
            <w:tcW w:w="613"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41</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47</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53</w:t>
            </w:r>
          </w:p>
        </w:tc>
        <w:tc>
          <w:tcPr>
            <w:tcW w:w="615"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59</w:t>
            </w:r>
          </w:p>
        </w:tc>
      </w:tr>
      <w:tr w:rsidR="00DD65A2" w:rsidRPr="0048120F" w:rsidTr="0082563A">
        <w:trPr>
          <w:trHeight w:val="20"/>
        </w:trPr>
        <w:tc>
          <w:tcPr>
            <w:cnfStyle w:val="001000000000" w:firstRow="0" w:lastRow="0" w:firstColumn="1" w:lastColumn="0" w:oddVBand="0" w:evenVBand="0" w:oddHBand="0" w:evenHBand="0" w:firstRowFirstColumn="0" w:firstRowLastColumn="0" w:lastRowFirstColumn="0" w:lastRowLastColumn="0"/>
            <w:tcW w:w="712" w:type="pct"/>
            <w:shd w:val="clear" w:color="auto" w:fill="F2F2F2" w:themeFill="background1" w:themeFillShade="F2"/>
          </w:tcPr>
          <w:p w:rsidR="00DD65A2" w:rsidRPr="001D12F5" w:rsidRDefault="00DD65A2" w:rsidP="00BF02A0">
            <w:pPr>
              <w:spacing w:before="40" w:line="264" w:lineRule="auto"/>
              <w:jc w:val="center"/>
              <w:rPr>
                <w:b w:val="0"/>
                <w:color w:val="222222"/>
              </w:rPr>
            </w:pPr>
            <w:r w:rsidRPr="001D12F5">
              <w:rPr>
                <w:b w:val="0"/>
                <w:color w:val="222222"/>
              </w:rPr>
              <w:t>20</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25</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31</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38</w:t>
            </w:r>
          </w:p>
        </w:tc>
        <w:tc>
          <w:tcPr>
            <w:tcW w:w="613"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44</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50</w:t>
            </w:r>
          </w:p>
        </w:tc>
        <w:tc>
          <w:tcPr>
            <w:tcW w:w="612"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56</w:t>
            </w:r>
          </w:p>
        </w:tc>
        <w:tc>
          <w:tcPr>
            <w:tcW w:w="615" w:type="pct"/>
            <w:shd w:val="clear" w:color="auto" w:fill="auto"/>
            <w:vAlign w:val="center"/>
          </w:tcPr>
          <w:p w:rsidR="00DD65A2" w:rsidRDefault="00DD65A2" w:rsidP="00BF02A0">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222222"/>
              </w:rPr>
            </w:pPr>
            <w:r>
              <w:rPr>
                <w:color w:val="222222"/>
              </w:rPr>
              <w:t>63</w:t>
            </w:r>
          </w:p>
        </w:tc>
      </w:tr>
      <w:tr w:rsidR="00DD65A2" w:rsidRPr="0048120F" w:rsidTr="00825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left w:val="none" w:sz="0" w:space="0" w:color="auto"/>
              <w:right w:val="none" w:sz="0" w:space="0" w:color="auto"/>
            </w:tcBorders>
            <w:shd w:val="clear" w:color="auto" w:fill="F2F2F2" w:themeFill="background1" w:themeFillShade="F2"/>
          </w:tcPr>
          <w:p w:rsidR="00DD65A2" w:rsidRPr="001D12F5" w:rsidRDefault="00DD65A2" w:rsidP="00BF02A0">
            <w:pPr>
              <w:spacing w:before="40" w:line="264" w:lineRule="auto"/>
              <w:jc w:val="center"/>
              <w:rPr>
                <w:b w:val="0"/>
                <w:color w:val="222222"/>
              </w:rPr>
            </w:pPr>
            <w:r w:rsidRPr="001D12F5">
              <w:rPr>
                <w:b w:val="0"/>
                <w:color w:val="222222"/>
              </w:rPr>
              <w:t>25</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27</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33</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40</w:t>
            </w:r>
          </w:p>
        </w:tc>
        <w:tc>
          <w:tcPr>
            <w:tcW w:w="613"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47</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53</w:t>
            </w:r>
          </w:p>
        </w:tc>
        <w:tc>
          <w:tcPr>
            <w:tcW w:w="612"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60</w:t>
            </w:r>
          </w:p>
        </w:tc>
        <w:tc>
          <w:tcPr>
            <w:tcW w:w="615" w:type="pct"/>
            <w:tcBorders>
              <w:left w:val="none" w:sz="0" w:space="0" w:color="auto"/>
              <w:right w:val="none" w:sz="0" w:space="0" w:color="auto"/>
            </w:tcBorders>
            <w:shd w:val="clear" w:color="auto" w:fill="auto"/>
            <w:vAlign w:val="center"/>
          </w:tcPr>
          <w:p w:rsidR="00DD65A2" w:rsidRDefault="00DD65A2" w:rsidP="00BF02A0">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222222"/>
              </w:rPr>
            </w:pPr>
            <w:r>
              <w:rPr>
                <w:color w:val="222222"/>
              </w:rPr>
              <w:t>67</w:t>
            </w:r>
          </w:p>
        </w:tc>
      </w:tr>
    </w:tbl>
    <w:p w:rsidR="00DD65A2" w:rsidRPr="0082563A" w:rsidRDefault="00DD65A2" w:rsidP="00DD65A2">
      <w:pPr>
        <w:rPr>
          <w:i/>
          <w:sz w:val="18"/>
          <w:szCs w:val="18"/>
        </w:rPr>
      </w:pPr>
      <w:r w:rsidRPr="0082563A">
        <w:rPr>
          <w:i/>
          <w:sz w:val="18"/>
          <w:szCs w:val="18"/>
        </w:rPr>
        <w:t>1) ztráty a vyřazování telat v průběhu odchovu od narození do otelení.</w:t>
      </w:r>
    </w:p>
    <w:p w:rsidR="00DD65A2" w:rsidRDefault="00DD65A2" w:rsidP="00DD65A2">
      <w:pPr>
        <w:spacing w:line="120" w:lineRule="auto"/>
        <w:rPr>
          <w:spacing w:val="-2"/>
        </w:rPr>
      </w:pPr>
    </w:p>
    <w:p w:rsidR="00C079CD" w:rsidRDefault="00C079CD" w:rsidP="00DD65A2">
      <w:pPr>
        <w:spacing w:line="120" w:lineRule="auto"/>
        <w:rPr>
          <w:spacing w:val="-2"/>
        </w:rPr>
      </w:pPr>
    </w:p>
    <w:p w:rsidR="00DD65A2" w:rsidRPr="005D6388" w:rsidRDefault="00DD65A2" w:rsidP="00BF02A0">
      <w:pPr>
        <w:pStyle w:val="Nadpis2"/>
        <w:rPr>
          <w:color w:val="222222"/>
        </w:rPr>
      </w:pPr>
      <w:bookmarkStart w:id="40" w:name="_Toc497823124"/>
      <w:bookmarkStart w:id="41" w:name="_Toc497823603"/>
      <w:bookmarkStart w:id="42" w:name="_Toc497823698"/>
      <w:bookmarkStart w:id="43" w:name="_Toc497884736"/>
      <w:r>
        <w:t>Přírůstky hmotnosti a ztráty telat</w:t>
      </w:r>
      <w:bookmarkEnd w:id="40"/>
      <w:bookmarkEnd w:id="41"/>
      <w:bookmarkEnd w:id="42"/>
      <w:bookmarkEnd w:id="43"/>
    </w:p>
    <w:p w:rsidR="00DD65A2" w:rsidRDefault="00DD65A2" w:rsidP="00DD65A2">
      <w:pPr>
        <w:shd w:val="clear" w:color="auto" w:fill="FFFFFF"/>
        <w:spacing w:before="0"/>
        <w:rPr>
          <w:bCs/>
        </w:rPr>
      </w:pPr>
      <w:r w:rsidRPr="005D6388">
        <w:rPr>
          <w:color w:val="222222"/>
          <w:spacing w:val="-2"/>
        </w:rPr>
        <w:t xml:space="preserve">Při </w:t>
      </w:r>
      <w:r>
        <w:rPr>
          <w:color w:val="222222"/>
          <w:spacing w:val="-2"/>
        </w:rPr>
        <w:t xml:space="preserve">průměrném ročním </w:t>
      </w:r>
      <w:r w:rsidRPr="005D6388">
        <w:rPr>
          <w:color w:val="222222"/>
          <w:spacing w:val="-2"/>
        </w:rPr>
        <w:t xml:space="preserve">odchovu 426 telat </w:t>
      </w:r>
      <w:r>
        <w:rPr>
          <w:color w:val="222222"/>
          <w:spacing w:val="-2"/>
        </w:rPr>
        <w:t xml:space="preserve">na podnik </w:t>
      </w:r>
      <w:r w:rsidRPr="00D87381">
        <w:rPr>
          <w:color w:val="222222"/>
        </w:rPr>
        <w:t xml:space="preserve">a délce odchovu 211 </w:t>
      </w:r>
      <w:r>
        <w:rPr>
          <w:color w:val="222222"/>
        </w:rPr>
        <w:t xml:space="preserve">dnů dosáhl v ČR </w:t>
      </w:r>
      <w:r w:rsidRPr="00D87381">
        <w:rPr>
          <w:color w:val="222222"/>
        </w:rPr>
        <w:t>průměrn</w:t>
      </w:r>
      <w:r>
        <w:rPr>
          <w:color w:val="222222"/>
        </w:rPr>
        <w:t>ý</w:t>
      </w:r>
      <w:r w:rsidRPr="00D87381">
        <w:rPr>
          <w:color w:val="222222"/>
        </w:rPr>
        <w:t xml:space="preserve"> </w:t>
      </w:r>
      <w:r w:rsidRPr="00D87381">
        <w:rPr>
          <w:color w:val="222222"/>
          <w:spacing w:val="-2"/>
        </w:rPr>
        <w:t>přírůst</w:t>
      </w:r>
      <w:r>
        <w:rPr>
          <w:color w:val="222222"/>
          <w:spacing w:val="-2"/>
        </w:rPr>
        <w:t xml:space="preserve">ek </w:t>
      </w:r>
      <w:r w:rsidRPr="00D87381">
        <w:rPr>
          <w:color w:val="222222"/>
          <w:spacing w:val="-2"/>
        </w:rPr>
        <w:t>851</w:t>
      </w:r>
      <w:r w:rsidRPr="00D87381">
        <w:rPr>
          <w:color w:val="FF0000"/>
          <w:spacing w:val="-2"/>
        </w:rPr>
        <w:t xml:space="preserve"> </w:t>
      </w:r>
      <w:r w:rsidRPr="00D87381">
        <w:rPr>
          <w:spacing w:val="-2"/>
        </w:rPr>
        <w:t>gramů na tele a den</w:t>
      </w:r>
      <w:r>
        <w:rPr>
          <w:spacing w:val="-2"/>
        </w:rPr>
        <w:t xml:space="preserve"> (tab. 2). Tento přírůstek </w:t>
      </w:r>
      <w:r w:rsidRPr="00D87381">
        <w:rPr>
          <w:spacing w:val="-2"/>
        </w:rPr>
        <w:t>odpovídá požadavku na</w:t>
      </w:r>
      <w:r w:rsidRPr="00D87381">
        <w:t xml:space="preserve"> růst telat do šesti </w:t>
      </w:r>
      <w:r w:rsidRPr="00D87381">
        <w:rPr>
          <w:spacing w:val="-2"/>
        </w:rPr>
        <w:t>měsíců věku (</w:t>
      </w:r>
      <w:r w:rsidRPr="00D87381">
        <w:rPr>
          <w:i/>
          <w:spacing w:val="-2"/>
        </w:rPr>
        <w:t>Fürst 2011, Sanftleben 2014, Fischer 2015</w:t>
      </w:r>
      <w:r>
        <w:rPr>
          <w:i/>
          <w:spacing w:val="-2"/>
        </w:rPr>
        <w:t xml:space="preserve"> aj.</w:t>
      </w:r>
      <w:r w:rsidRPr="00D87381">
        <w:rPr>
          <w:spacing w:val="-2"/>
        </w:rPr>
        <w:t>)</w:t>
      </w:r>
      <w:r w:rsidRPr="00D87381">
        <w:rPr>
          <w:i/>
          <w:spacing w:val="-2"/>
        </w:rPr>
        <w:t>.</w:t>
      </w:r>
      <w:r w:rsidRPr="00D87381">
        <w:rPr>
          <w:spacing w:val="-2"/>
        </w:rPr>
        <w:t xml:space="preserve"> Variabilita</w:t>
      </w:r>
      <w:r w:rsidRPr="00D87381">
        <w:t xml:space="preserve"> mezi podniky </w:t>
      </w:r>
      <w:r>
        <w:t xml:space="preserve">v přírůstcích </w:t>
      </w:r>
      <w:r w:rsidRPr="00D87381">
        <w:t xml:space="preserve">(677 až 966 g) </w:t>
      </w:r>
      <w:r>
        <w:t xml:space="preserve">a úhynech telat (0,4 až 17,8 %) </w:t>
      </w:r>
      <w:r w:rsidRPr="00D87381">
        <w:t xml:space="preserve">poukazuje na možnosti zlepšování </w:t>
      </w:r>
      <w:r>
        <w:t>výsledků jejich odchovu</w:t>
      </w:r>
      <w:r w:rsidRPr="00D87381">
        <w:rPr>
          <w:color w:val="222222"/>
        </w:rPr>
        <w:t>.</w:t>
      </w:r>
      <w:r>
        <w:rPr>
          <w:color w:val="222222"/>
        </w:rPr>
        <w:t xml:space="preserve"> P</w:t>
      </w:r>
      <w:r w:rsidRPr="009E764F">
        <w:rPr>
          <w:bCs/>
        </w:rPr>
        <w:t xml:space="preserve">řírůstky </w:t>
      </w:r>
      <w:r>
        <w:rPr>
          <w:bCs/>
        </w:rPr>
        <w:t>holštýnských (H) a českých strakatých telat</w:t>
      </w:r>
      <w:r w:rsidRPr="009E764F">
        <w:rPr>
          <w:bCs/>
        </w:rPr>
        <w:t xml:space="preserve"> </w:t>
      </w:r>
      <w:r>
        <w:rPr>
          <w:bCs/>
        </w:rPr>
        <w:t>(</w:t>
      </w:r>
      <w:r w:rsidRPr="009E764F">
        <w:rPr>
          <w:bCs/>
        </w:rPr>
        <w:t>C</w:t>
      </w:r>
      <w:r>
        <w:rPr>
          <w:bCs/>
        </w:rPr>
        <w:t>)</w:t>
      </w:r>
      <w:r w:rsidRPr="009E764F">
        <w:rPr>
          <w:bCs/>
        </w:rPr>
        <w:t xml:space="preserve"> byly </w:t>
      </w:r>
      <w:r w:rsidRPr="00272849">
        <w:rPr>
          <w:bCs/>
          <w:spacing w:val="-2"/>
        </w:rPr>
        <w:t>téměř shodné (851 a 844 gramů), rozdíl v produkci mléka byl</w:t>
      </w:r>
      <w:r w:rsidRPr="009E764F">
        <w:rPr>
          <w:bCs/>
        </w:rPr>
        <w:t xml:space="preserve"> o 1 650 litrů a 21 % nižší u dojnic C (7 900 a 6 250 litrů)</w:t>
      </w:r>
      <w:r>
        <w:rPr>
          <w:bCs/>
        </w:rPr>
        <w:t xml:space="preserve">. </w:t>
      </w:r>
      <w:r>
        <w:rPr>
          <w:color w:val="222222"/>
        </w:rPr>
        <w:t xml:space="preserve">Telata byla odchovávána v průměru do </w:t>
      </w:r>
      <w:r w:rsidRPr="00D87381">
        <w:rPr>
          <w:color w:val="222222"/>
        </w:rPr>
        <w:t>7 měsíců</w:t>
      </w:r>
      <w:r>
        <w:rPr>
          <w:color w:val="222222"/>
        </w:rPr>
        <w:t xml:space="preserve"> věku</w:t>
      </w:r>
      <w:r w:rsidRPr="00D87381">
        <w:rPr>
          <w:color w:val="222222"/>
        </w:rPr>
        <w:t xml:space="preserve">, z toho </w:t>
      </w:r>
      <w:r w:rsidRPr="00B26A00">
        <w:rPr>
          <w:color w:val="222222"/>
          <w:spacing w:val="-2"/>
        </w:rPr>
        <w:t>v 18 chovech do šesti, ve dvou do sedmi, v jednom do devíti a ve třech podnicích do 12</w:t>
      </w:r>
      <w:r>
        <w:rPr>
          <w:color w:val="222222"/>
        </w:rPr>
        <w:t xml:space="preserve"> měsíců.</w:t>
      </w:r>
      <w:r>
        <w:rPr>
          <w:bCs/>
        </w:rPr>
        <w:t xml:space="preserve">   </w:t>
      </w:r>
    </w:p>
    <w:p w:rsidR="00DD65A2" w:rsidRDefault="00DD65A2" w:rsidP="00DD65A2">
      <w:pPr>
        <w:shd w:val="clear" w:color="auto" w:fill="FFFFFF"/>
        <w:spacing w:before="0"/>
        <w:rPr>
          <w:bCs/>
        </w:rPr>
      </w:pPr>
      <w:r>
        <w:rPr>
          <w:bCs/>
        </w:rPr>
        <w:t xml:space="preserve">    Poměrně přísné ukazatele úhynů telat do 40 dnů věku (2 % až 4 %) jsou </w:t>
      </w:r>
      <w:r w:rsidRPr="00856B14">
        <w:rPr>
          <w:bCs/>
        </w:rPr>
        <w:t>uvedeny v tab. 3</w:t>
      </w:r>
      <w:r>
        <w:rPr>
          <w:bCs/>
        </w:rPr>
        <w:t>.</w:t>
      </w:r>
    </w:p>
    <w:p w:rsidR="00DD65A2" w:rsidRDefault="00DD65A2" w:rsidP="00DD65A2">
      <w:pPr>
        <w:shd w:val="clear" w:color="auto" w:fill="FFFFFF"/>
        <w:spacing w:before="0" w:line="120" w:lineRule="auto"/>
        <w:rPr>
          <w:bCs/>
        </w:rPr>
      </w:pPr>
    </w:p>
    <w:p w:rsidR="00DD65A2" w:rsidRDefault="00DD65A2" w:rsidP="00BF02A0">
      <w:pPr>
        <w:pStyle w:val="Nadpis3"/>
      </w:pPr>
      <w:r>
        <w:t>Tab. 2 Výrobní ukazatele odchovu telat (24 podniků, 2011)</w:t>
      </w:r>
    </w:p>
    <w:tbl>
      <w:tblPr>
        <w:tblStyle w:val="Mkatabulky"/>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458"/>
        <w:gridCol w:w="1088"/>
        <w:gridCol w:w="1087"/>
        <w:gridCol w:w="1087"/>
        <w:gridCol w:w="1091"/>
        <w:gridCol w:w="1087"/>
        <w:gridCol w:w="1087"/>
        <w:gridCol w:w="1087"/>
        <w:gridCol w:w="1071"/>
      </w:tblGrid>
      <w:tr w:rsidR="00C079CD" w:rsidRPr="00C079CD" w:rsidTr="00C079CD">
        <w:trPr>
          <w:trHeight w:val="290"/>
        </w:trPr>
        <w:tc>
          <w:tcPr>
            <w:tcW w:w="718" w:type="pct"/>
            <w:vMerge w:val="restart"/>
            <w:tcMar>
              <w:left w:w="57" w:type="dxa"/>
              <w:right w:w="57" w:type="dxa"/>
            </w:tcMar>
            <w:vAlign w:val="center"/>
          </w:tcPr>
          <w:p w:rsidR="00C079CD" w:rsidRPr="00C079CD" w:rsidRDefault="00C079CD" w:rsidP="001875C3">
            <w:pPr>
              <w:spacing w:before="40" w:line="264" w:lineRule="auto"/>
              <w:jc w:val="center"/>
            </w:pPr>
            <w:r w:rsidRPr="00C079CD">
              <w:t>Ukazatel</w:t>
            </w:r>
          </w:p>
        </w:tc>
        <w:tc>
          <w:tcPr>
            <w:tcW w:w="1072" w:type="pct"/>
            <w:gridSpan w:val="2"/>
            <w:shd w:val="clear" w:color="auto" w:fill="F2F2F2" w:themeFill="background1" w:themeFillShade="F2"/>
            <w:tcMar>
              <w:left w:w="57" w:type="dxa"/>
              <w:right w:w="57" w:type="dxa"/>
            </w:tcMar>
            <w:vAlign w:val="center"/>
          </w:tcPr>
          <w:p w:rsidR="00C079CD" w:rsidRPr="00C079CD" w:rsidRDefault="00C079CD" w:rsidP="001875C3">
            <w:pPr>
              <w:spacing w:before="40" w:line="264" w:lineRule="auto"/>
              <w:jc w:val="center"/>
            </w:pPr>
            <w:r w:rsidRPr="00C079CD">
              <w:t>odchov telat</w:t>
            </w:r>
          </w:p>
        </w:tc>
        <w:tc>
          <w:tcPr>
            <w:tcW w:w="1610" w:type="pct"/>
            <w:gridSpan w:val="3"/>
            <w:shd w:val="clear" w:color="auto" w:fill="F2F2F2" w:themeFill="background1" w:themeFillShade="F2"/>
            <w:tcMar>
              <w:left w:w="57" w:type="dxa"/>
              <w:right w:w="57" w:type="dxa"/>
            </w:tcMar>
            <w:vAlign w:val="center"/>
          </w:tcPr>
          <w:p w:rsidR="00C079CD" w:rsidRPr="00C079CD" w:rsidRDefault="00C079CD" w:rsidP="001875C3">
            <w:pPr>
              <w:spacing w:before="40" w:line="264" w:lineRule="auto"/>
              <w:jc w:val="center"/>
            </w:pPr>
            <w:r w:rsidRPr="00C079CD">
              <w:t>hmotnost telat (kg)</w:t>
            </w:r>
          </w:p>
        </w:tc>
        <w:tc>
          <w:tcPr>
            <w:tcW w:w="1072" w:type="pct"/>
            <w:gridSpan w:val="2"/>
            <w:shd w:val="clear" w:color="auto" w:fill="F2F2F2" w:themeFill="background1" w:themeFillShade="F2"/>
            <w:tcMar>
              <w:left w:w="57" w:type="dxa"/>
              <w:right w:w="57" w:type="dxa"/>
            </w:tcMar>
          </w:tcPr>
          <w:p w:rsidR="00C079CD" w:rsidRPr="00C079CD" w:rsidRDefault="00C079CD" w:rsidP="001875C3">
            <w:pPr>
              <w:spacing w:before="40" w:line="264" w:lineRule="auto"/>
              <w:jc w:val="center"/>
            </w:pPr>
            <w:r w:rsidRPr="00C079CD">
              <w:t>přírůstek hmotn.</w:t>
            </w:r>
          </w:p>
        </w:tc>
        <w:tc>
          <w:tcPr>
            <w:tcW w:w="528" w:type="pct"/>
            <w:vMerge w:val="restart"/>
            <w:shd w:val="clear" w:color="auto" w:fill="F2F2F2" w:themeFill="background1" w:themeFillShade="F2"/>
          </w:tcPr>
          <w:p w:rsidR="00C079CD" w:rsidRPr="00C079CD" w:rsidRDefault="00C079CD" w:rsidP="001875C3">
            <w:pPr>
              <w:spacing w:before="40" w:line="264" w:lineRule="auto"/>
              <w:jc w:val="center"/>
            </w:pPr>
            <w:r w:rsidRPr="00C079CD">
              <w:t>úhyn</w:t>
            </w:r>
          </w:p>
          <w:p w:rsidR="00C079CD" w:rsidRPr="00C079CD" w:rsidRDefault="00C079CD" w:rsidP="001875C3">
            <w:pPr>
              <w:spacing w:before="40" w:line="264" w:lineRule="auto"/>
              <w:jc w:val="center"/>
            </w:pPr>
            <w:r w:rsidRPr="00C079CD">
              <w:t>(%)</w:t>
            </w:r>
          </w:p>
        </w:tc>
      </w:tr>
      <w:tr w:rsidR="00C079CD" w:rsidRPr="00C079CD" w:rsidTr="001875C3">
        <w:trPr>
          <w:trHeight w:val="260"/>
        </w:trPr>
        <w:tc>
          <w:tcPr>
            <w:tcW w:w="718" w:type="pct"/>
            <w:vMerge/>
            <w:tcMar>
              <w:left w:w="57" w:type="dxa"/>
              <w:right w:w="57" w:type="dxa"/>
            </w:tcMar>
            <w:vAlign w:val="center"/>
          </w:tcPr>
          <w:p w:rsidR="00C079CD" w:rsidRPr="00C079CD" w:rsidRDefault="00C079CD" w:rsidP="001875C3">
            <w:pPr>
              <w:spacing w:before="40" w:line="264" w:lineRule="auto"/>
              <w:jc w:val="center"/>
            </w:pPr>
          </w:p>
        </w:tc>
        <w:tc>
          <w:tcPr>
            <w:tcW w:w="536" w:type="pct"/>
            <w:tcMar>
              <w:left w:w="57" w:type="dxa"/>
              <w:right w:w="57" w:type="dxa"/>
            </w:tcMar>
            <w:vAlign w:val="center"/>
          </w:tcPr>
          <w:p w:rsidR="00C079CD" w:rsidRPr="00C079CD" w:rsidRDefault="00C079CD" w:rsidP="001875C3">
            <w:pPr>
              <w:spacing w:before="40" w:line="264" w:lineRule="auto"/>
              <w:jc w:val="center"/>
              <w:rPr>
                <w:vertAlign w:val="superscript"/>
              </w:rPr>
            </w:pPr>
            <w:r w:rsidRPr="00C079CD">
              <w:t>kusů</w:t>
            </w:r>
            <w:r w:rsidRPr="00C079CD">
              <w:rPr>
                <w:vertAlign w:val="superscript"/>
              </w:rPr>
              <w:t>1)</w:t>
            </w:r>
          </w:p>
        </w:tc>
        <w:tc>
          <w:tcPr>
            <w:tcW w:w="536" w:type="pct"/>
            <w:tcMar>
              <w:left w:w="57" w:type="dxa"/>
              <w:right w:w="57" w:type="dxa"/>
            </w:tcMar>
            <w:vAlign w:val="center"/>
          </w:tcPr>
          <w:p w:rsidR="00C079CD" w:rsidRPr="00C079CD" w:rsidRDefault="00C079CD" w:rsidP="001875C3">
            <w:pPr>
              <w:spacing w:before="40" w:line="264" w:lineRule="auto"/>
              <w:jc w:val="center"/>
            </w:pPr>
            <w:r w:rsidRPr="00C079CD">
              <w:t>dnů</w:t>
            </w:r>
          </w:p>
        </w:tc>
        <w:tc>
          <w:tcPr>
            <w:tcW w:w="536" w:type="pct"/>
            <w:tcMar>
              <w:left w:w="57" w:type="dxa"/>
              <w:right w:w="57" w:type="dxa"/>
            </w:tcMar>
            <w:vAlign w:val="center"/>
          </w:tcPr>
          <w:p w:rsidR="00C079CD" w:rsidRPr="00C079CD" w:rsidRDefault="00C079CD" w:rsidP="001875C3">
            <w:pPr>
              <w:spacing w:before="40" w:line="264" w:lineRule="auto"/>
              <w:jc w:val="center"/>
              <w:rPr>
                <w:vertAlign w:val="superscript"/>
              </w:rPr>
            </w:pPr>
            <w:r w:rsidRPr="00C079CD">
              <w:t>Ø</w:t>
            </w:r>
            <w:r w:rsidRPr="00C079CD">
              <w:rPr>
                <w:vertAlign w:val="superscript"/>
              </w:rPr>
              <w:t>2)</w:t>
            </w:r>
          </w:p>
        </w:tc>
        <w:tc>
          <w:tcPr>
            <w:tcW w:w="538" w:type="pct"/>
            <w:tcMar>
              <w:left w:w="57" w:type="dxa"/>
              <w:right w:w="57" w:type="dxa"/>
            </w:tcMar>
            <w:vAlign w:val="center"/>
          </w:tcPr>
          <w:p w:rsidR="00C079CD" w:rsidRPr="00C079CD" w:rsidRDefault="00C079CD" w:rsidP="001875C3">
            <w:pPr>
              <w:spacing w:before="40" w:line="264" w:lineRule="auto"/>
              <w:jc w:val="center"/>
            </w:pPr>
            <w:r w:rsidRPr="00C079CD">
              <w:t>od</w:t>
            </w:r>
          </w:p>
        </w:tc>
        <w:tc>
          <w:tcPr>
            <w:tcW w:w="536" w:type="pct"/>
            <w:vAlign w:val="center"/>
          </w:tcPr>
          <w:p w:rsidR="00C079CD" w:rsidRPr="00C079CD" w:rsidRDefault="00C079CD" w:rsidP="001875C3">
            <w:pPr>
              <w:spacing w:before="40" w:line="264" w:lineRule="auto"/>
              <w:jc w:val="center"/>
            </w:pPr>
            <w:r w:rsidRPr="00C079CD">
              <w:t>do</w:t>
            </w:r>
          </w:p>
        </w:tc>
        <w:tc>
          <w:tcPr>
            <w:tcW w:w="536" w:type="pct"/>
            <w:tcMar>
              <w:left w:w="57" w:type="dxa"/>
              <w:right w:w="57" w:type="dxa"/>
            </w:tcMar>
          </w:tcPr>
          <w:p w:rsidR="00C079CD" w:rsidRPr="00C079CD" w:rsidRDefault="00C079CD" w:rsidP="001875C3">
            <w:pPr>
              <w:spacing w:before="40" w:line="264" w:lineRule="auto"/>
              <w:jc w:val="center"/>
            </w:pPr>
            <w:r w:rsidRPr="00C079CD">
              <w:t>g/den</w:t>
            </w:r>
          </w:p>
        </w:tc>
        <w:tc>
          <w:tcPr>
            <w:tcW w:w="536" w:type="pct"/>
          </w:tcPr>
          <w:p w:rsidR="00C079CD" w:rsidRPr="00C079CD" w:rsidRDefault="00C079CD" w:rsidP="001875C3">
            <w:pPr>
              <w:spacing w:before="40" w:line="264" w:lineRule="auto"/>
              <w:jc w:val="center"/>
            </w:pPr>
            <w:r w:rsidRPr="00C079CD">
              <w:t>kg/kus</w:t>
            </w:r>
          </w:p>
        </w:tc>
        <w:tc>
          <w:tcPr>
            <w:tcW w:w="528" w:type="pct"/>
            <w:vMerge/>
          </w:tcPr>
          <w:p w:rsidR="00C079CD" w:rsidRPr="00C079CD" w:rsidRDefault="00C079CD" w:rsidP="001875C3">
            <w:pPr>
              <w:spacing w:before="40" w:line="264" w:lineRule="auto"/>
              <w:jc w:val="center"/>
            </w:pPr>
          </w:p>
        </w:tc>
      </w:tr>
      <w:tr w:rsidR="00C079CD" w:rsidRPr="00C079CD" w:rsidTr="00C079CD">
        <w:tc>
          <w:tcPr>
            <w:tcW w:w="718" w:type="pct"/>
            <w:shd w:val="clear" w:color="auto" w:fill="F2F2F2" w:themeFill="background1" w:themeFillShade="F2"/>
            <w:tcMar>
              <w:left w:w="57" w:type="dxa"/>
              <w:right w:w="57" w:type="dxa"/>
            </w:tcMar>
            <w:vAlign w:val="center"/>
          </w:tcPr>
          <w:p w:rsidR="00C079CD" w:rsidRPr="00C079CD" w:rsidRDefault="00C079CD" w:rsidP="001875C3">
            <w:pPr>
              <w:spacing w:before="40" w:line="264" w:lineRule="auto"/>
              <w:jc w:val="center"/>
            </w:pPr>
            <w:r w:rsidRPr="00C079CD">
              <w:t>průměr</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426</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205</w:t>
            </w:r>
          </w:p>
        </w:tc>
        <w:tc>
          <w:tcPr>
            <w:tcW w:w="536" w:type="pct"/>
            <w:tcMar>
              <w:left w:w="57" w:type="dxa"/>
              <w:right w:w="57" w:type="dxa"/>
            </w:tcMar>
            <w:vAlign w:val="center"/>
          </w:tcPr>
          <w:p w:rsidR="00C079CD" w:rsidRPr="00C079CD" w:rsidRDefault="00C079CD" w:rsidP="001875C3">
            <w:pPr>
              <w:spacing w:before="40" w:line="264" w:lineRule="auto"/>
              <w:jc w:val="center"/>
            </w:pPr>
            <w:r w:rsidRPr="00C079CD">
              <w:t>205</w:t>
            </w:r>
          </w:p>
        </w:tc>
        <w:tc>
          <w:tcPr>
            <w:tcW w:w="538" w:type="pct"/>
            <w:tcMar>
              <w:left w:w="57" w:type="dxa"/>
              <w:right w:w="57" w:type="dxa"/>
            </w:tcMar>
            <w:vAlign w:val="center"/>
          </w:tcPr>
          <w:p w:rsidR="00C079CD" w:rsidRPr="00C079CD" w:rsidRDefault="00C079CD" w:rsidP="001875C3">
            <w:pPr>
              <w:spacing w:before="40" w:line="264" w:lineRule="auto"/>
              <w:jc w:val="center"/>
            </w:pPr>
            <w:r w:rsidRPr="00C079CD">
              <w:t>36</w:t>
            </w:r>
          </w:p>
        </w:tc>
        <w:tc>
          <w:tcPr>
            <w:tcW w:w="536" w:type="pct"/>
            <w:vAlign w:val="center"/>
          </w:tcPr>
          <w:p w:rsidR="00C079CD" w:rsidRPr="00C079CD" w:rsidRDefault="00C079CD" w:rsidP="001875C3">
            <w:pPr>
              <w:spacing w:before="40" w:line="264" w:lineRule="auto"/>
              <w:jc w:val="center"/>
            </w:pPr>
            <w:r w:rsidRPr="00C079CD">
              <w:t>212</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851</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175</w:t>
            </w:r>
          </w:p>
        </w:tc>
        <w:tc>
          <w:tcPr>
            <w:tcW w:w="528" w:type="pct"/>
            <w:vAlign w:val="bottom"/>
          </w:tcPr>
          <w:p w:rsidR="00C079CD" w:rsidRPr="00C079CD" w:rsidRDefault="00C079CD" w:rsidP="001875C3">
            <w:pPr>
              <w:spacing w:before="40" w:line="264" w:lineRule="auto"/>
              <w:jc w:val="center"/>
            </w:pPr>
            <w:r w:rsidRPr="00C079CD">
              <w:t>4,9</w:t>
            </w:r>
          </w:p>
        </w:tc>
      </w:tr>
      <w:tr w:rsidR="00C079CD" w:rsidRPr="00C079CD" w:rsidTr="00C079CD">
        <w:tc>
          <w:tcPr>
            <w:tcW w:w="718" w:type="pct"/>
            <w:shd w:val="clear" w:color="auto" w:fill="F2F2F2" w:themeFill="background1" w:themeFillShade="F2"/>
            <w:tcMar>
              <w:left w:w="57" w:type="dxa"/>
              <w:right w:w="57" w:type="dxa"/>
            </w:tcMar>
            <w:vAlign w:val="center"/>
          </w:tcPr>
          <w:p w:rsidR="00C079CD" w:rsidRPr="00C079CD" w:rsidRDefault="00C079CD" w:rsidP="001875C3">
            <w:pPr>
              <w:spacing w:before="40" w:line="264" w:lineRule="auto"/>
              <w:jc w:val="center"/>
            </w:pPr>
            <w:r w:rsidRPr="00C079CD">
              <w:t>min.</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50</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132</w:t>
            </w:r>
          </w:p>
        </w:tc>
        <w:tc>
          <w:tcPr>
            <w:tcW w:w="536" w:type="pct"/>
            <w:tcMar>
              <w:left w:w="57" w:type="dxa"/>
              <w:right w:w="57" w:type="dxa"/>
            </w:tcMar>
            <w:vAlign w:val="center"/>
          </w:tcPr>
          <w:p w:rsidR="00C079CD" w:rsidRPr="00C079CD" w:rsidRDefault="00C079CD" w:rsidP="001875C3">
            <w:pPr>
              <w:spacing w:before="40" w:line="264" w:lineRule="auto"/>
              <w:jc w:val="center"/>
            </w:pPr>
            <w:r w:rsidRPr="00C079CD">
              <w:t>132</w:t>
            </w:r>
          </w:p>
        </w:tc>
        <w:tc>
          <w:tcPr>
            <w:tcW w:w="538" w:type="pct"/>
            <w:tcMar>
              <w:left w:w="57" w:type="dxa"/>
              <w:right w:w="57" w:type="dxa"/>
            </w:tcMar>
            <w:vAlign w:val="center"/>
          </w:tcPr>
          <w:p w:rsidR="00C079CD" w:rsidRPr="00C079CD" w:rsidRDefault="00C079CD" w:rsidP="001875C3">
            <w:pPr>
              <w:spacing w:before="40" w:line="264" w:lineRule="auto"/>
              <w:jc w:val="center"/>
            </w:pPr>
            <w:r w:rsidRPr="00C079CD">
              <w:t>22</w:t>
            </w:r>
          </w:p>
        </w:tc>
        <w:tc>
          <w:tcPr>
            <w:tcW w:w="536" w:type="pct"/>
            <w:vAlign w:val="center"/>
          </w:tcPr>
          <w:p w:rsidR="00C079CD" w:rsidRPr="00C079CD" w:rsidRDefault="00C079CD" w:rsidP="001875C3">
            <w:pPr>
              <w:spacing w:before="40" w:line="264" w:lineRule="auto"/>
              <w:jc w:val="center"/>
            </w:pPr>
            <w:r w:rsidRPr="00C079CD">
              <w:t>75</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677</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115</w:t>
            </w:r>
          </w:p>
        </w:tc>
        <w:tc>
          <w:tcPr>
            <w:tcW w:w="528" w:type="pct"/>
            <w:vAlign w:val="bottom"/>
          </w:tcPr>
          <w:p w:rsidR="00C079CD" w:rsidRPr="00C079CD" w:rsidRDefault="00C079CD" w:rsidP="001875C3">
            <w:pPr>
              <w:spacing w:before="40" w:line="264" w:lineRule="auto"/>
              <w:jc w:val="center"/>
            </w:pPr>
            <w:r w:rsidRPr="00C079CD">
              <w:t>0,4</w:t>
            </w:r>
          </w:p>
        </w:tc>
      </w:tr>
      <w:tr w:rsidR="00C079CD" w:rsidRPr="00C079CD" w:rsidTr="00C079CD">
        <w:tc>
          <w:tcPr>
            <w:tcW w:w="718" w:type="pct"/>
            <w:shd w:val="clear" w:color="auto" w:fill="F2F2F2" w:themeFill="background1" w:themeFillShade="F2"/>
            <w:tcMar>
              <w:left w:w="57" w:type="dxa"/>
              <w:right w:w="57" w:type="dxa"/>
            </w:tcMar>
            <w:vAlign w:val="center"/>
          </w:tcPr>
          <w:p w:rsidR="00C079CD" w:rsidRPr="00C079CD" w:rsidRDefault="00C079CD" w:rsidP="001875C3">
            <w:pPr>
              <w:spacing w:before="40" w:line="264" w:lineRule="auto"/>
              <w:jc w:val="center"/>
            </w:pPr>
            <w:r w:rsidRPr="00C079CD">
              <w:t>max.</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1170</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365</w:t>
            </w:r>
          </w:p>
        </w:tc>
        <w:tc>
          <w:tcPr>
            <w:tcW w:w="536" w:type="pct"/>
            <w:tcMar>
              <w:left w:w="57" w:type="dxa"/>
              <w:right w:w="57" w:type="dxa"/>
            </w:tcMar>
            <w:vAlign w:val="center"/>
          </w:tcPr>
          <w:p w:rsidR="00C079CD" w:rsidRPr="00C079CD" w:rsidRDefault="00C079CD" w:rsidP="001875C3">
            <w:pPr>
              <w:spacing w:before="40" w:line="264" w:lineRule="auto"/>
              <w:jc w:val="center"/>
            </w:pPr>
            <w:r w:rsidRPr="00C079CD">
              <w:t>365</w:t>
            </w:r>
          </w:p>
        </w:tc>
        <w:tc>
          <w:tcPr>
            <w:tcW w:w="538" w:type="pct"/>
            <w:tcMar>
              <w:left w:w="57" w:type="dxa"/>
              <w:right w:w="57" w:type="dxa"/>
            </w:tcMar>
            <w:vAlign w:val="center"/>
          </w:tcPr>
          <w:p w:rsidR="00C079CD" w:rsidRPr="00C079CD" w:rsidRDefault="00C079CD" w:rsidP="001875C3">
            <w:pPr>
              <w:spacing w:before="40" w:line="264" w:lineRule="auto"/>
              <w:jc w:val="center"/>
            </w:pPr>
            <w:r w:rsidRPr="00C079CD">
              <w:t>68</w:t>
            </w:r>
          </w:p>
        </w:tc>
        <w:tc>
          <w:tcPr>
            <w:tcW w:w="536" w:type="pct"/>
            <w:vAlign w:val="center"/>
          </w:tcPr>
          <w:p w:rsidR="00C079CD" w:rsidRPr="00C079CD" w:rsidRDefault="00C079CD" w:rsidP="001875C3">
            <w:pPr>
              <w:spacing w:before="40" w:line="264" w:lineRule="auto"/>
              <w:jc w:val="center"/>
            </w:pPr>
            <w:r w:rsidRPr="00C079CD">
              <w:t>378</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966</w:t>
            </w:r>
          </w:p>
        </w:tc>
        <w:tc>
          <w:tcPr>
            <w:tcW w:w="536" w:type="pct"/>
            <w:tcMar>
              <w:left w:w="57" w:type="dxa"/>
              <w:right w:w="57" w:type="dxa"/>
            </w:tcMar>
            <w:vAlign w:val="bottom"/>
          </w:tcPr>
          <w:p w:rsidR="00C079CD" w:rsidRPr="00C079CD" w:rsidRDefault="00C079CD" w:rsidP="001875C3">
            <w:pPr>
              <w:spacing w:before="40" w:line="264" w:lineRule="auto"/>
              <w:jc w:val="center"/>
            </w:pPr>
            <w:r w:rsidRPr="00C079CD">
              <w:t>347</w:t>
            </w:r>
          </w:p>
        </w:tc>
        <w:tc>
          <w:tcPr>
            <w:tcW w:w="528" w:type="pct"/>
            <w:vAlign w:val="bottom"/>
          </w:tcPr>
          <w:p w:rsidR="00C079CD" w:rsidRPr="00C079CD" w:rsidRDefault="00C079CD" w:rsidP="001875C3">
            <w:pPr>
              <w:spacing w:before="40" w:line="264" w:lineRule="auto"/>
              <w:jc w:val="center"/>
            </w:pPr>
            <w:r w:rsidRPr="00C079CD">
              <w:t>17,8</w:t>
            </w:r>
          </w:p>
        </w:tc>
      </w:tr>
    </w:tbl>
    <w:p w:rsidR="00C079CD" w:rsidRPr="00C079CD" w:rsidRDefault="00C079CD" w:rsidP="00C079CD">
      <w:pPr>
        <w:spacing w:line="240" w:lineRule="auto"/>
        <w:rPr>
          <w:i/>
          <w:sz w:val="18"/>
          <w:szCs w:val="18"/>
        </w:rPr>
      </w:pPr>
      <w:r w:rsidRPr="00C079CD">
        <w:rPr>
          <w:i/>
          <w:sz w:val="18"/>
          <w:szCs w:val="18"/>
        </w:rPr>
        <w:t>1) na podnik;</w:t>
      </w:r>
    </w:p>
    <w:p w:rsidR="00C079CD" w:rsidRPr="00C079CD" w:rsidRDefault="00C079CD" w:rsidP="00C079CD">
      <w:pPr>
        <w:spacing w:before="0" w:line="240" w:lineRule="auto"/>
        <w:rPr>
          <w:i/>
          <w:sz w:val="18"/>
          <w:szCs w:val="18"/>
        </w:rPr>
      </w:pPr>
      <w:r w:rsidRPr="00C079CD">
        <w:rPr>
          <w:i/>
          <w:sz w:val="18"/>
          <w:szCs w:val="18"/>
        </w:rPr>
        <w:t>2) po skončení odchovu.</w:t>
      </w:r>
    </w:p>
    <w:p w:rsidR="00C079CD" w:rsidRDefault="00C079CD" w:rsidP="00C079CD"/>
    <w:p w:rsidR="00DD65A2" w:rsidRDefault="00DD65A2" w:rsidP="006A4E5A">
      <w:pPr>
        <w:pStyle w:val="Nadpis3"/>
      </w:pPr>
      <w:r>
        <w:lastRenderedPageBreak/>
        <w:t>Tab. 3 Ukazatele ztrát telat</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2548"/>
        <w:gridCol w:w="2548"/>
        <w:gridCol w:w="2549"/>
        <w:gridCol w:w="2549"/>
      </w:tblGrid>
      <w:tr w:rsidR="00DD65A2" w:rsidTr="00825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Default="00DD65A2" w:rsidP="0073240D">
            <w:pPr>
              <w:spacing w:before="40" w:line="264" w:lineRule="auto"/>
              <w:jc w:val="center"/>
              <w:rPr>
                <w:b w:val="0"/>
              </w:rPr>
            </w:pPr>
            <w:r>
              <w:rPr>
                <w:b w:val="0"/>
              </w:rPr>
              <w:t>Věk telat</w:t>
            </w:r>
          </w:p>
        </w:tc>
        <w:tc>
          <w:tcPr>
            <w:tcW w:w="3750"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1D12F5" w:rsidRDefault="00DD65A2" w:rsidP="0073240D">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1D12F5">
              <w:rPr>
                <w:b w:val="0"/>
              </w:rPr>
              <w:t xml:space="preserve">úroveň úhynů </w:t>
            </w:r>
          </w:p>
        </w:tc>
      </w:tr>
      <w:tr w:rsidR="00DD65A2" w:rsidTr="00825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left w:val="none" w:sz="0" w:space="0" w:color="auto"/>
              <w:right w:val="none" w:sz="0" w:space="0" w:color="auto"/>
            </w:tcBorders>
            <w:shd w:val="clear" w:color="auto" w:fill="auto"/>
            <w:vAlign w:val="center"/>
          </w:tcPr>
          <w:p w:rsidR="00DD65A2" w:rsidRDefault="00DD65A2" w:rsidP="0073240D">
            <w:pPr>
              <w:spacing w:before="40" w:line="264" w:lineRule="auto"/>
              <w:jc w:val="center"/>
              <w:rPr>
                <w:b w:val="0"/>
              </w:rPr>
            </w:pPr>
          </w:p>
        </w:tc>
        <w:tc>
          <w:tcPr>
            <w:tcW w:w="1250" w:type="pct"/>
            <w:tcBorders>
              <w:left w:val="none" w:sz="0" w:space="0" w:color="auto"/>
              <w:right w:val="none" w:sz="0" w:space="0" w:color="auto"/>
            </w:tcBorders>
            <w:shd w:val="clear" w:color="auto" w:fill="F2F2F2" w:themeFill="background1" w:themeFillShade="F2"/>
            <w:vAlign w:val="center"/>
          </w:tcPr>
          <w:p w:rsidR="00DD65A2" w:rsidRPr="00744FCE"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44FCE">
              <w:t>cílová</w:t>
            </w:r>
          </w:p>
        </w:tc>
        <w:tc>
          <w:tcPr>
            <w:tcW w:w="1250" w:type="pct"/>
            <w:tcBorders>
              <w:left w:val="none" w:sz="0" w:space="0" w:color="auto"/>
              <w:right w:val="none" w:sz="0" w:space="0" w:color="auto"/>
            </w:tcBorders>
            <w:shd w:val="clear" w:color="auto" w:fill="F2F2F2" w:themeFill="background1" w:themeFillShade="F2"/>
            <w:vAlign w:val="center"/>
          </w:tcPr>
          <w:p w:rsidR="00DD65A2" w:rsidRPr="00744FCE"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44FCE">
              <w:t>hraniční</w:t>
            </w:r>
          </w:p>
        </w:tc>
        <w:tc>
          <w:tcPr>
            <w:tcW w:w="1250" w:type="pct"/>
            <w:tcBorders>
              <w:left w:val="none" w:sz="0" w:space="0" w:color="auto"/>
              <w:right w:val="none" w:sz="0" w:space="0" w:color="auto"/>
            </w:tcBorders>
            <w:shd w:val="clear" w:color="auto" w:fill="F2F2F2" w:themeFill="background1" w:themeFillShade="F2"/>
            <w:vAlign w:val="center"/>
          </w:tcPr>
          <w:p w:rsidR="00DD65A2" w:rsidRPr="00744FCE"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44FCE">
              <w:t>neakceptovatelná</w:t>
            </w:r>
          </w:p>
        </w:tc>
      </w:tr>
      <w:tr w:rsidR="00DD65A2" w:rsidTr="0082563A">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1" w:themeFillShade="F2"/>
            <w:vAlign w:val="center"/>
          </w:tcPr>
          <w:p w:rsidR="00DD65A2" w:rsidRPr="001D12F5" w:rsidRDefault="00DD65A2" w:rsidP="0073240D">
            <w:pPr>
              <w:spacing w:before="40" w:line="264" w:lineRule="auto"/>
              <w:jc w:val="center"/>
              <w:rPr>
                <w:b w:val="0"/>
              </w:rPr>
            </w:pPr>
            <w:r w:rsidRPr="001D12F5">
              <w:rPr>
                <w:b w:val="0"/>
              </w:rPr>
              <w:t>do 8. dne</w:t>
            </w:r>
          </w:p>
        </w:tc>
        <w:tc>
          <w:tcPr>
            <w:tcW w:w="1250" w:type="pct"/>
            <w:shd w:val="clear" w:color="auto" w:fill="auto"/>
            <w:vAlign w:val="center"/>
          </w:tcPr>
          <w:p w:rsidR="00DD65A2" w:rsidRPr="00971117" w:rsidRDefault="00DD65A2" w:rsidP="0073240D">
            <w:pPr>
              <w:spacing w:before="40" w:line="264" w:lineRule="auto"/>
              <w:jc w:val="center"/>
              <w:cnfStyle w:val="000000000000" w:firstRow="0" w:lastRow="0" w:firstColumn="0" w:lastColumn="0" w:oddVBand="0" w:evenVBand="0" w:oddHBand="0" w:evenHBand="0" w:firstRowFirstColumn="0" w:firstRowLastColumn="0" w:lastRowFirstColumn="0" w:lastRowLastColumn="0"/>
            </w:pPr>
            <w:r>
              <w:t>≤ 1,5 %</w:t>
            </w:r>
          </w:p>
        </w:tc>
        <w:tc>
          <w:tcPr>
            <w:tcW w:w="1250" w:type="pct"/>
            <w:shd w:val="clear" w:color="auto" w:fill="auto"/>
            <w:vAlign w:val="center"/>
          </w:tcPr>
          <w:p w:rsidR="00DD65A2" w:rsidRPr="00971117" w:rsidRDefault="00DD65A2" w:rsidP="0073240D">
            <w:pPr>
              <w:spacing w:before="40" w:line="264" w:lineRule="auto"/>
              <w:jc w:val="center"/>
              <w:cnfStyle w:val="000000000000" w:firstRow="0" w:lastRow="0" w:firstColumn="0" w:lastColumn="0" w:oddVBand="0" w:evenVBand="0" w:oddHBand="0" w:evenHBand="0" w:firstRowFirstColumn="0" w:firstRowLastColumn="0" w:lastRowFirstColumn="0" w:lastRowLastColumn="0"/>
            </w:pPr>
            <w:r>
              <w:t>≤ 2,5 %</w:t>
            </w:r>
          </w:p>
        </w:tc>
        <w:tc>
          <w:tcPr>
            <w:tcW w:w="1250" w:type="pct"/>
            <w:shd w:val="clear" w:color="auto" w:fill="auto"/>
            <w:vAlign w:val="center"/>
          </w:tcPr>
          <w:p w:rsidR="00DD65A2" w:rsidRPr="00971117" w:rsidRDefault="00DD65A2" w:rsidP="0073240D">
            <w:pPr>
              <w:spacing w:before="40" w:line="264" w:lineRule="auto"/>
              <w:jc w:val="center"/>
              <w:cnfStyle w:val="000000000000" w:firstRow="0" w:lastRow="0" w:firstColumn="0" w:lastColumn="0" w:oddVBand="0" w:evenVBand="0" w:oddHBand="0" w:evenHBand="0" w:firstRowFirstColumn="0" w:firstRowLastColumn="0" w:lastRowFirstColumn="0" w:lastRowLastColumn="0"/>
            </w:pPr>
            <w:r>
              <w:sym w:font="Symbol" w:char="F03E"/>
            </w:r>
            <w:r>
              <w:t xml:space="preserve"> 2,5 %</w:t>
            </w:r>
          </w:p>
        </w:tc>
      </w:tr>
      <w:tr w:rsidR="00DD65A2" w:rsidTr="00825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left w:val="none" w:sz="0" w:space="0" w:color="auto"/>
              <w:right w:val="none" w:sz="0" w:space="0" w:color="auto"/>
            </w:tcBorders>
            <w:shd w:val="clear" w:color="auto" w:fill="F2F2F2" w:themeFill="background1" w:themeFillShade="F2"/>
            <w:vAlign w:val="center"/>
          </w:tcPr>
          <w:p w:rsidR="00DD65A2" w:rsidRPr="001D12F5" w:rsidRDefault="00DD65A2" w:rsidP="0073240D">
            <w:pPr>
              <w:spacing w:before="40" w:line="264" w:lineRule="auto"/>
              <w:jc w:val="center"/>
              <w:rPr>
                <w:b w:val="0"/>
              </w:rPr>
            </w:pPr>
            <w:r w:rsidRPr="001D12F5">
              <w:rPr>
                <w:b w:val="0"/>
              </w:rPr>
              <w:t>8. až 40. den</w:t>
            </w:r>
          </w:p>
        </w:tc>
        <w:tc>
          <w:tcPr>
            <w:tcW w:w="1250" w:type="pct"/>
            <w:tcBorders>
              <w:left w:val="none" w:sz="0" w:space="0" w:color="auto"/>
              <w:right w:val="none" w:sz="0" w:space="0" w:color="auto"/>
            </w:tcBorders>
            <w:shd w:val="clear" w:color="auto" w:fill="auto"/>
            <w:vAlign w:val="center"/>
          </w:tcPr>
          <w:p w:rsidR="00DD65A2" w:rsidRPr="00971117"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t>≤ 2,0 %</w:t>
            </w:r>
          </w:p>
        </w:tc>
        <w:tc>
          <w:tcPr>
            <w:tcW w:w="1250" w:type="pct"/>
            <w:tcBorders>
              <w:left w:val="none" w:sz="0" w:space="0" w:color="auto"/>
              <w:right w:val="none" w:sz="0" w:space="0" w:color="auto"/>
            </w:tcBorders>
            <w:shd w:val="clear" w:color="auto" w:fill="auto"/>
            <w:vAlign w:val="center"/>
          </w:tcPr>
          <w:p w:rsidR="00DD65A2" w:rsidRPr="00971117"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t xml:space="preserve">≤ 4,0 % </w:t>
            </w:r>
          </w:p>
        </w:tc>
        <w:tc>
          <w:tcPr>
            <w:tcW w:w="1250" w:type="pct"/>
            <w:tcBorders>
              <w:left w:val="none" w:sz="0" w:space="0" w:color="auto"/>
              <w:right w:val="none" w:sz="0" w:space="0" w:color="auto"/>
            </w:tcBorders>
            <w:shd w:val="clear" w:color="auto" w:fill="auto"/>
            <w:vAlign w:val="center"/>
          </w:tcPr>
          <w:p w:rsidR="00DD65A2" w:rsidRPr="00971117" w:rsidRDefault="00DD65A2" w:rsidP="0073240D">
            <w:pPr>
              <w:spacing w:before="40" w:line="264" w:lineRule="auto"/>
              <w:jc w:val="center"/>
              <w:cnfStyle w:val="000000100000" w:firstRow="0" w:lastRow="0" w:firstColumn="0" w:lastColumn="0" w:oddVBand="0" w:evenVBand="0" w:oddHBand="1" w:evenHBand="0" w:firstRowFirstColumn="0" w:firstRowLastColumn="0" w:lastRowFirstColumn="0" w:lastRowLastColumn="0"/>
            </w:pPr>
            <w:r>
              <w:sym w:font="Symbol" w:char="F03E"/>
            </w:r>
            <w:r>
              <w:t xml:space="preserve"> 4,0 %</w:t>
            </w:r>
          </w:p>
        </w:tc>
      </w:tr>
    </w:tbl>
    <w:p w:rsidR="00DD65A2" w:rsidRPr="0082563A" w:rsidRDefault="00DD65A2" w:rsidP="00DD65A2">
      <w:pPr>
        <w:rPr>
          <w:i/>
          <w:sz w:val="18"/>
          <w:szCs w:val="18"/>
        </w:rPr>
      </w:pPr>
      <w:r w:rsidRPr="0082563A">
        <w:rPr>
          <w:i/>
          <w:sz w:val="18"/>
          <w:szCs w:val="18"/>
        </w:rPr>
        <w:t>Pramen: Becker a kol. (2015).</w:t>
      </w:r>
    </w:p>
    <w:p w:rsidR="00DD65A2" w:rsidRPr="00184FA9" w:rsidRDefault="00DD65A2" w:rsidP="00DD65A2">
      <w:pPr>
        <w:rPr>
          <w:b/>
          <w:i/>
          <w:szCs w:val="20"/>
        </w:rPr>
      </w:pPr>
      <w:r w:rsidRPr="00B26A00">
        <w:t xml:space="preserve">Podle </w:t>
      </w:r>
      <w:r w:rsidRPr="00B26A00">
        <w:rPr>
          <w:i/>
        </w:rPr>
        <w:t xml:space="preserve">Gasteinera (2005) </w:t>
      </w:r>
      <w:r w:rsidRPr="00B26A00">
        <w:t>lze tolerovat úhyny telat do 5 %, v problémových chovech může</w:t>
      </w:r>
      <w:r>
        <w:t xml:space="preserve"> </w:t>
      </w:r>
      <w:r w:rsidRPr="00800A4C">
        <w:rPr>
          <w:spacing w:val="-2"/>
        </w:rPr>
        <w:t xml:space="preserve">podíl </w:t>
      </w:r>
      <w:r>
        <w:rPr>
          <w:spacing w:val="-2"/>
        </w:rPr>
        <w:t xml:space="preserve">úhynů </w:t>
      </w:r>
      <w:r w:rsidRPr="00800A4C">
        <w:rPr>
          <w:spacing w:val="-2"/>
        </w:rPr>
        <w:t>překročit 30 %</w:t>
      </w:r>
      <w:r>
        <w:rPr>
          <w:spacing w:val="-2"/>
        </w:rPr>
        <w:t>, p</w:t>
      </w:r>
      <w:r>
        <w:rPr>
          <w:bCs/>
        </w:rPr>
        <w:t xml:space="preserve">odle </w:t>
      </w:r>
      <w:r w:rsidRPr="00856B14">
        <w:rPr>
          <w:bCs/>
          <w:i/>
        </w:rPr>
        <w:t>RGD (2017)</w:t>
      </w:r>
      <w:r>
        <w:rPr>
          <w:bCs/>
        </w:rPr>
        <w:t xml:space="preserve"> by úhyny v prvním měsíci života telat neměly překročit 5 %.</w:t>
      </w:r>
      <w:r w:rsidRPr="00800A4C">
        <w:rPr>
          <w:spacing w:val="-2"/>
        </w:rPr>
        <w:t xml:space="preserve"> </w:t>
      </w:r>
      <w:r w:rsidRPr="00800A4C">
        <w:rPr>
          <w:i/>
          <w:spacing w:val="-2"/>
        </w:rPr>
        <w:t>Müller (2012)</w:t>
      </w:r>
      <w:r w:rsidRPr="00800A4C">
        <w:rPr>
          <w:spacing w:val="-2"/>
        </w:rPr>
        <w:t xml:space="preserve"> uvádí podíl úhynů telat v období do odstavu</w:t>
      </w:r>
      <w:r w:rsidRPr="00965694">
        <w:rPr>
          <w:spacing w:val="-2"/>
        </w:rPr>
        <w:t xml:space="preserve"> mezi 3,6 a 8,8 %</w:t>
      </w:r>
      <w:r>
        <w:rPr>
          <w:spacing w:val="-2"/>
        </w:rPr>
        <w:t xml:space="preserve">, podle </w:t>
      </w:r>
      <w:r w:rsidRPr="005E5DA3">
        <w:rPr>
          <w:i/>
          <w:spacing w:val="-2"/>
        </w:rPr>
        <w:t>Ehret</w:t>
      </w:r>
      <w:r>
        <w:rPr>
          <w:i/>
          <w:spacing w:val="-2"/>
        </w:rPr>
        <w:t>a</w:t>
      </w:r>
      <w:r w:rsidRPr="005E5DA3">
        <w:rPr>
          <w:i/>
          <w:spacing w:val="-2"/>
        </w:rPr>
        <w:t xml:space="preserve"> (2016)</w:t>
      </w:r>
      <w:r>
        <w:rPr>
          <w:spacing w:val="-2"/>
        </w:rPr>
        <w:t xml:space="preserve"> kolísaly v letech 2000 až 2015 ztráty telat v</w:t>
      </w:r>
      <w:r w:rsidR="00792882">
        <w:rPr>
          <w:spacing w:val="-2"/>
        </w:rPr>
        <w:t> </w:t>
      </w:r>
      <w:r>
        <w:rPr>
          <w:spacing w:val="-2"/>
        </w:rPr>
        <w:t xml:space="preserve">Německu mezi 7,0 a 8,8 %. </w:t>
      </w:r>
    </w:p>
    <w:p w:rsidR="00DD65A2" w:rsidRDefault="00DD65A2" w:rsidP="00DD65A2">
      <w:pPr>
        <w:spacing w:line="120" w:lineRule="auto"/>
        <w:rPr>
          <w:b/>
          <w:szCs w:val="24"/>
        </w:rPr>
      </w:pPr>
    </w:p>
    <w:p w:rsidR="00DD65A2" w:rsidRDefault="00DD65A2" w:rsidP="00BF02A0">
      <w:pPr>
        <w:pStyle w:val="Nadpis2"/>
      </w:pPr>
      <w:bookmarkStart w:id="44" w:name="_Toc497823125"/>
      <w:bookmarkStart w:id="45" w:name="_Toc497823604"/>
      <w:bookmarkStart w:id="46" w:name="_Toc497823699"/>
      <w:bookmarkStart w:id="47" w:name="_Toc497884737"/>
      <w:r w:rsidRPr="00985BB1">
        <w:t>Náklady odchov</w:t>
      </w:r>
      <w:r>
        <w:t>u</w:t>
      </w:r>
      <w:r w:rsidRPr="00985BB1">
        <w:t xml:space="preserve"> telat</w:t>
      </w:r>
      <w:bookmarkEnd w:id="44"/>
      <w:bookmarkEnd w:id="45"/>
      <w:bookmarkEnd w:id="46"/>
      <w:bookmarkEnd w:id="47"/>
    </w:p>
    <w:p w:rsidR="00DD65A2" w:rsidRDefault="00DD65A2" w:rsidP="00DD65A2">
      <w:pPr>
        <w:rPr>
          <w:color w:val="222222"/>
          <w:spacing w:val="-2"/>
        </w:rPr>
      </w:pPr>
      <w:r w:rsidRPr="009435D7">
        <w:rPr>
          <w:bCs/>
          <w:spacing w:val="-2"/>
        </w:rPr>
        <w:t xml:space="preserve">Údaje o nákladech </w:t>
      </w:r>
      <w:r w:rsidRPr="00333458">
        <w:rPr>
          <w:bCs/>
          <w:spacing w:val="-2"/>
        </w:rPr>
        <w:t xml:space="preserve">na odchov telat </w:t>
      </w:r>
      <w:r>
        <w:rPr>
          <w:bCs/>
          <w:spacing w:val="-2"/>
        </w:rPr>
        <w:t xml:space="preserve">dojených krav </w:t>
      </w:r>
      <w:r w:rsidRPr="00333458">
        <w:rPr>
          <w:bCs/>
          <w:spacing w:val="-2"/>
        </w:rPr>
        <w:t>po</w:t>
      </w:r>
      <w:r w:rsidRPr="009435D7">
        <w:rPr>
          <w:bCs/>
          <w:spacing w:val="-2"/>
        </w:rPr>
        <w:t xml:space="preserve">cházejí z 24 </w:t>
      </w:r>
      <w:r>
        <w:rPr>
          <w:bCs/>
          <w:spacing w:val="-2"/>
        </w:rPr>
        <w:t>chovů</w:t>
      </w:r>
      <w:r w:rsidRPr="009435D7">
        <w:rPr>
          <w:bCs/>
          <w:spacing w:val="-2"/>
        </w:rPr>
        <w:t xml:space="preserve"> </w:t>
      </w:r>
      <w:r>
        <w:rPr>
          <w:bCs/>
        </w:rPr>
        <w:t xml:space="preserve">za rok 2011 v ČR a z 12 publikovaných výsledků německých, amerických a jednoho </w:t>
      </w:r>
      <w:r w:rsidRPr="005D6388">
        <w:rPr>
          <w:bCs/>
          <w:spacing w:val="-2"/>
        </w:rPr>
        <w:t xml:space="preserve">britského </w:t>
      </w:r>
      <w:r>
        <w:rPr>
          <w:bCs/>
          <w:spacing w:val="-2"/>
        </w:rPr>
        <w:t>chovu</w:t>
      </w:r>
      <w:r w:rsidRPr="005D6388">
        <w:rPr>
          <w:bCs/>
          <w:spacing w:val="-2"/>
        </w:rPr>
        <w:t>.</w:t>
      </w:r>
      <w:r>
        <w:rPr>
          <w:bCs/>
          <w:spacing w:val="-2"/>
        </w:rPr>
        <w:t xml:space="preserve"> </w:t>
      </w:r>
      <w:r w:rsidRPr="0058342B">
        <w:rPr>
          <w:color w:val="222222"/>
          <w:spacing w:val="-2"/>
        </w:rPr>
        <w:t xml:space="preserve">Náklady na odchov </w:t>
      </w:r>
      <w:r>
        <w:rPr>
          <w:color w:val="222222"/>
          <w:spacing w:val="-2"/>
        </w:rPr>
        <w:t xml:space="preserve">jednoho </w:t>
      </w:r>
      <w:r w:rsidRPr="0058342B">
        <w:rPr>
          <w:color w:val="222222"/>
          <w:spacing w:val="-2"/>
        </w:rPr>
        <w:t xml:space="preserve">„českého“ telete (bez režií) přibližně do sedmi měsíců věku </w:t>
      </w:r>
      <w:r>
        <w:rPr>
          <w:color w:val="222222"/>
        </w:rPr>
        <w:t xml:space="preserve">dosáhly v průměru téměř 9 000 Kč na tele a </w:t>
      </w:r>
      <w:r w:rsidRPr="00E807A1">
        <w:rPr>
          <w:color w:val="222222"/>
          <w:spacing w:val="-2"/>
        </w:rPr>
        <w:t>45 Kč</w:t>
      </w:r>
      <w:r>
        <w:rPr>
          <w:color w:val="222222"/>
          <w:spacing w:val="-2"/>
        </w:rPr>
        <w:t xml:space="preserve"> na jeden den odchovu</w:t>
      </w:r>
      <w:r w:rsidRPr="00E807A1">
        <w:rPr>
          <w:color w:val="222222"/>
          <w:spacing w:val="-2"/>
        </w:rPr>
        <w:t xml:space="preserve"> (tab. </w:t>
      </w:r>
      <w:r>
        <w:rPr>
          <w:color w:val="222222"/>
          <w:spacing w:val="-2"/>
        </w:rPr>
        <w:t>4</w:t>
      </w:r>
      <w:r w:rsidRPr="00E807A1">
        <w:rPr>
          <w:color w:val="222222"/>
          <w:spacing w:val="-2"/>
        </w:rPr>
        <w:t xml:space="preserve">). Podílejí se na nich 64 % náklady na </w:t>
      </w:r>
      <w:r w:rsidRPr="00333458">
        <w:rPr>
          <w:color w:val="222222"/>
        </w:rPr>
        <w:t>krmiva, 18 % pracovní náklady, 4 % veterinární výkony a 14 % ostatní položky.</w:t>
      </w:r>
      <w:r w:rsidRPr="001564AA">
        <w:rPr>
          <w:color w:val="222222"/>
          <w:spacing w:val="-2"/>
        </w:rPr>
        <w:t xml:space="preserve"> </w:t>
      </w:r>
      <w:r>
        <w:rPr>
          <w:color w:val="222222"/>
          <w:spacing w:val="-2"/>
        </w:rPr>
        <w:t xml:space="preserve">Náklady na </w:t>
      </w:r>
      <w:r w:rsidRPr="008F310F">
        <w:rPr>
          <w:color w:val="222222"/>
          <w:spacing w:val="-4"/>
        </w:rPr>
        <w:t>pohonné hmoty a odpisy stájí a techniky lze odhadnout na 316 a 308 Kč na tele a 1,61 a 1,53</w:t>
      </w:r>
      <w:r>
        <w:rPr>
          <w:color w:val="222222"/>
          <w:spacing w:val="-2"/>
        </w:rPr>
        <w:t xml:space="preserve"> Kč na den. Rozdíly mezi maximální a minimální výší všech ukazatelů poukazují na jejich vysokou variabilitu. </w:t>
      </w:r>
    </w:p>
    <w:p w:rsidR="006A4E5A" w:rsidRDefault="006A4E5A" w:rsidP="00DD65A2">
      <w:pPr>
        <w:rPr>
          <w:color w:val="222222"/>
          <w:spacing w:val="-2"/>
        </w:rPr>
      </w:pPr>
    </w:p>
    <w:p w:rsidR="00DD65A2" w:rsidRDefault="00DD65A2" w:rsidP="00C41CC5">
      <w:pPr>
        <w:pStyle w:val="Nadpis3"/>
      </w:pPr>
      <w:r>
        <w:t>Tab. 4 Náklady na odchov telat v podnicích s výrobou mléka (n = 24, 2011)</w:t>
      </w:r>
    </w:p>
    <w:tbl>
      <w:tblPr>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70" w:type="dxa"/>
          <w:right w:w="70" w:type="dxa"/>
        </w:tblCellMar>
        <w:tblLook w:val="04A0" w:firstRow="1" w:lastRow="0" w:firstColumn="1" w:lastColumn="0" w:noHBand="0" w:noVBand="1"/>
      </w:tblPr>
      <w:tblGrid>
        <w:gridCol w:w="2537"/>
        <w:gridCol w:w="1256"/>
        <w:gridCol w:w="1261"/>
        <w:gridCol w:w="1267"/>
        <w:gridCol w:w="1265"/>
        <w:gridCol w:w="1265"/>
        <w:gridCol w:w="1267"/>
      </w:tblGrid>
      <w:tr w:rsidR="00DD65A2" w:rsidRPr="004B1410" w:rsidTr="0082563A">
        <w:trPr>
          <w:trHeight w:val="20"/>
        </w:trPr>
        <w:tc>
          <w:tcPr>
            <w:tcW w:w="1254" w:type="pct"/>
            <w:vMerge w:val="restart"/>
            <w:shd w:val="clear" w:color="auto" w:fill="auto"/>
            <w:vAlign w:val="center"/>
          </w:tcPr>
          <w:p w:rsidR="00DD65A2" w:rsidRPr="004B1410" w:rsidRDefault="00DD65A2" w:rsidP="00C41CC5">
            <w:pPr>
              <w:spacing w:before="40" w:line="264" w:lineRule="auto"/>
              <w:jc w:val="center"/>
              <w:rPr>
                <w:b/>
                <w:bCs/>
                <w:color w:val="000000"/>
                <w:szCs w:val="24"/>
              </w:rPr>
            </w:pPr>
            <w:r w:rsidRPr="004B1410">
              <w:rPr>
                <w:b/>
                <w:bCs/>
                <w:color w:val="000000"/>
                <w:szCs w:val="24"/>
              </w:rPr>
              <w:t>Ukazatel</w:t>
            </w:r>
          </w:p>
        </w:tc>
        <w:tc>
          <w:tcPr>
            <w:tcW w:w="1870" w:type="pct"/>
            <w:gridSpan w:val="3"/>
            <w:shd w:val="clear" w:color="auto" w:fill="F2F2F2" w:themeFill="background1" w:themeFillShade="F2"/>
            <w:vAlign w:val="center"/>
          </w:tcPr>
          <w:p w:rsidR="00DD65A2" w:rsidRPr="001D12F5" w:rsidRDefault="00DD65A2" w:rsidP="00C41CC5">
            <w:pPr>
              <w:spacing w:before="40" w:line="264" w:lineRule="auto"/>
              <w:jc w:val="center"/>
              <w:rPr>
                <w:color w:val="000000"/>
                <w:szCs w:val="24"/>
              </w:rPr>
            </w:pPr>
            <w:r w:rsidRPr="001D12F5">
              <w:rPr>
                <w:color w:val="000000"/>
                <w:szCs w:val="24"/>
              </w:rPr>
              <w:t>náklady na tele (Kč)</w:t>
            </w:r>
          </w:p>
        </w:tc>
        <w:tc>
          <w:tcPr>
            <w:tcW w:w="1876" w:type="pct"/>
            <w:gridSpan w:val="3"/>
            <w:shd w:val="clear" w:color="auto" w:fill="F2F2F2" w:themeFill="background1" w:themeFillShade="F2"/>
            <w:vAlign w:val="center"/>
          </w:tcPr>
          <w:p w:rsidR="00DD65A2" w:rsidRPr="001D12F5" w:rsidRDefault="00DD65A2" w:rsidP="00C41CC5">
            <w:pPr>
              <w:spacing w:before="40" w:line="264" w:lineRule="auto"/>
              <w:jc w:val="center"/>
              <w:rPr>
                <w:color w:val="000000"/>
                <w:szCs w:val="24"/>
              </w:rPr>
            </w:pPr>
            <w:r w:rsidRPr="001D12F5">
              <w:rPr>
                <w:color w:val="000000"/>
                <w:szCs w:val="24"/>
              </w:rPr>
              <w:t>náklady na krmný den (Kč)</w:t>
            </w:r>
          </w:p>
        </w:tc>
      </w:tr>
      <w:tr w:rsidR="00DD65A2" w:rsidRPr="004B1410" w:rsidTr="0082563A">
        <w:trPr>
          <w:trHeight w:val="20"/>
        </w:trPr>
        <w:tc>
          <w:tcPr>
            <w:tcW w:w="1254" w:type="pct"/>
            <w:vMerge/>
            <w:shd w:val="clear" w:color="auto" w:fill="auto"/>
            <w:vAlign w:val="center"/>
            <w:hideMark/>
          </w:tcPr>
          <w:p w:rsidR="00DD65A2" w:rsidRPr="004B1410" w:rsidRDefault="00DD65A2" w:rsidP="00C41CC5">
            <w:pPr>
              <w:spacing w:before="40" w:line="264" w:lineRule="auto"/>
              <w:jc w:val="center"/>
              <w:rPr>
                <w:b/>
                <w:bCs/>
                <w:color w:val="000000"/>
                <w:szCs w:val="24"/>
              </w:rPr>
            </w:pPr>
          </w:p>
        </w:tc>
        <w:tc>
          <w:tcPr>
            <w:tcW w:w="621"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průměr</w:t>
            </w:r>
          </w:p>
        </w:tc>
        <w:tc>
          <w:tcPr>
            <w:tcW w:w="623"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min.</w:t>
            </w:r>
          </w:p>
        </w:tc>
        <w:tc>
          <w:tcPr>
            <w:tcW w:w="625"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max.</w:t>
            </w:r>
          </w:p>
        </w:tc>
        <w:tc>
          <w:tcPr>
            <w:tcW w:w="625"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průměr</w:t>
            </w:r>
          </w:p>
        </w:tc>
        <w:tc>
          <w:tcPr>
            <w:tcW w:w="625"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min.</w:t>
            </w:r>
          </w:p>
        </w:tc>
        <w:tc>
          <w:tcPr>
            <w:tcW w:w="625" w:type="pct"/>
            <w:shd w:val="clear" w:color="auto" w:fill="F2F2F2" w:themeFill="background1" w:themeFillShade="F2"/>
            <w:vAlign w:val="center"/>
            <w:hideMark/>
          </w:tcPr>
          <w:p w:rsidR="00DD65A2" w:rsidRPr="006A4E5A" w:rsidRDefault="00DD65A2" w:rsidP="00C41CC5">
            <w:pPr>
              <w:spacing w:before="40" w:line="264" w:lineRule="auto"/>
              <w:jc w:val="center"/>
              <w:rPr>
                <w:color w:val="000000"/>
                <w:szCs w:val="24"/>
              </w:rPr>
            </w:pPr>
            <w:r w:rsidRPr="006A4E5A">
              <w:rPr>
                <w:color w:val="000000"/>
                <w:szCs w:val="24"/>
              </w:rPr>
              <w:t>max.</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6C3314">
              <w:rPr>
                <w:bCs/>
                <w:color w:val="000000"/>
                <w:szCs w:val="24"/>
              </w:rPr>
              <w:t xml:space="preserve">mléko </w:t>
            </w:r>
            <w:r w:rsidRPr="004B1410">
              <w:rPr>
                <w:bCs/>
                <w:color w:val="000000"/>
                <w:szCs w:val="24"/>
              </w:rPr>
              <w:t>+ MKS</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2 520</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316</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8 128</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13,05</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1,73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44,56</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jadrné směsi</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1 349</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60</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3 411</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6,92</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0,33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22,44</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objem</w:t>
            </w:r>
            <w:r>
              <w:rPr>
                <w:bCs/>
                <w:color w:val="000000"/>
                <w:szCs w:val="24"/>
              </w:rPr>
              <w:t>ná</w:t>
            </w:r>
            <w:r w:rsidRPr="004B1410">
              <w:rPr>
                <w:bCs/>
                <w:color w:val="000000"/>
                <w:szCs w:val="24"/>
              </w:rPr>
              <w:t xml:space="preserve"> krmiva</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1 838</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233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5 522</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8,64</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1,28</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23,59</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krmiva celkem</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5 707</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2 436</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11 905</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28,61</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13,36</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65,27</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prac</w:t>
            </w:r>
            <w:r>
              <w:rPr>
                <w:bCs/>
                <w:color w:val="000000"/>
                <w:szCs w:val="24"/>
              </w:rPr>
              <w:t>ovní</w:t>
            </w:r>
            <w:r w:rsidRPr="004B1410">
              <w:rPr>
                <w:bCs/>
                <w:color w:val="000000"/>
                <w:szCs w:val="24"/>
              </w:rPr>
              <w:t xml:space="preserve"> náklady</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1 585</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169</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3 561</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8,05</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0,93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19,52</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veter</w:t>
            </w:r>
            <w:r>
              <w:rPr>
                <w:bCs/>
                <w:color w:val="000000"/>
                <w:szCs w:val="24"/>
              </w:rPr>
              <w:t>inární</w:t>
            </w:r>
            <w:r w:rsidRPr="004B1410">
              <w:rPr>
                <w:bCs/>
                <w:color w:val="000000"/>
                <w:szCs w:val="24"/>
              </w:rPr>
              <w:t xml:space="preserve"> výkony</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380</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17</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1 735</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1,84</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0,1</w:t>
            </w:r>
            <w:r>
              <w:rPr>
                <w:color w:val="000000"/>
                <w:szCs w:val="24"/>
              </w:rPr>
              <w:t>0</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5,29</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ostatní položky</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1 315</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103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4 743</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6,5</w:t>
            </w:r>
            <w:r>
              <w:rPr>
                <w:color w:val="000000"/>
                <w:szCs w:val="24"/>
              </w:rPr>
              <w:t>0</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0,57</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26</w:t>
            </w:r>
            <w:r>
              <w:rPr>
                <w:color w:val="000000"/>
                <w:szCs w:val="24"/>
              </w:rPr>
              <w:t>,00</w:t>
            </w:r>
          </w:p>
        </w:tc>
      </w:tr>
      <w:tr w:rsidR="00DD65A2" w:rsidRPr="004B1410" w:rsidTr="0082563A">
        <w:trPr>
          <w:trHeight w:val="20"/>
        </w:trPr>
        <w:tc>
          <w:tcPr>
            <w:tcW w:w="1254" w:type="pct"/>
            <w:shd w:val="clear" w:color="auto" w:fill="F2F2F2" w:themeFill="background1" w:themeFillShade="F2"/>
            <w:vAlign w:val="center"/>
            <w:hideMark/>
          </w:tcPr>
          <w:p w:rsidR="00DD65A2" w:rsidRPr="004B1410" w:rsidRDefault="00DD65A2" w:rsidP="00C41CC5">
            <w:pPr>
              <w:spacing w:before="40" w:line="264" w:lineRule="auto"/>
              <w:jc w:val="center"/>
              <w:rPr>
                <w:bCs/>
                <w:color w:val="000000"/>
                <w:szCs w:val="24"/>
              </w:rPr>
            </w:pPr>
            <w:r w:rsidRPr="004B1410">
              <w:rPr>
                <w:bCs/>
                <w:color w:val="000000"/>
                <w:szCs w:val="24"/>
              </w:rPr>
              <w:t>náklady celkem</w:t>
            </w:r>
          </w:p>
        </w:tc>
        <w:tc>
          <w:tcPr>
            <w:tcW w:w="621"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8 987</w:t>
            </w:r>
          </w:p>
        </w:tc>
        <w:tc>
          <w:tcPr>
            <w:tcW w:w="623"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4 031</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14 092</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45</w:t>
            </w:r>
            <w:r>
              <w:rPr>
                <w:color w:val="000000"/>
                <w:szCs w:val="24"/>
              </w:rPr>
              <w:t>,00</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22,1</w:t>
            </w:r>
            <w:r>
              <w:rPr>
                <w:color w:val="000000"/>
                <w:szCs w:val="24"/>
              </w:rPr>
              <w:t>0</w:t>
            </w:r>
          </w:p>
        </w:tc>
        <w:tc>
          <w:tcPr>
            <w:tcW w:w="625" w:type="pct"/>
            <w:shd w:val="clear" w:color="auto" w:fill="auto"/>
            <w:vAlign w:val="center"/>
            <w:hideMark/>
          </w:tcPr>
          <w:p w:rsidR="00DD65A2" w:rsidRPr="004B1410" w:rsidRDefault="00DD65A2" w:rsidP="00C41CC5">
            <w:pPr>
              <w:spacing w:before="40" w:line="264" w:lineRule="auto"/>
              <w:jc w:val="center"/>
              <w:rPr>
                <w:color w:val="000000"/>
                <w:szCs w:val="24"/>
              </w:rPr>
            </w:pPr>
            <w:r w:rsidRPr="004B1410">
              <w:rPr>
                <w:color w:val="000000"/>
                <w:szCs w:val="24"/>
              </w:rPr>
              <w:t>74,18</w:t>
            </w:r>
          </w:p>
        </w:tc>
      </w:tr>
    </w:tbl>
    <w:p w:rsidR="00DD65A2" w:rsidRDefault="00DD65A2" w:rsidP="0082563A"/>
    <w:p w:rsidR="00DD65A2" w:rsidRDefault="00DD65A2" w:rsidP="00DD65A2">
      <w:pPr>
        <w:shd w:val="clear" w:color="auto" w:fill="FFFFFF"/>
        <w:spacing w:before="0"/>
        <w:rPr>
          <w:color w:val="222222"/>
          <w:spacing w:val="-2"/>
        </w:rPr>
      </w:pPr>
      <w:r>
        <w:rPr>
          <w:color w:val="222222"/>
          <w:spacing w:val="-2"/>
        </w:rPr>
        <w:t xml:space="preserve">Náklady na krmiva jsou členěny </w:t>
      </w:r>
      <w:r w:rsidRPr="009541DD">
        <w:rPr>
          <w:color w:val="222222"/>
        </w:rPr>
        <w:t xml:space="preserve">na náklady na mléko a mléčné krmné směsi, </w:t>
      </w:r>
      <w:r w:rsidRPr="00BF35D4">
        <w:rPr>
          <w:color w:val="222222"/>
          <w:spacing w:val="-2"/>
        </w:rPr>
        <w:t>jadrné směsi (startér) a objemná krmiva. Na jejich výši (5 707 Kč na tele a 8,05 Kč na den, 63</w:t>
      </w:r>
      <w:r>
        <w:rPr>
          <w:color w:val="222222"/>
          <w:spacing w:val="-2"/>
        </w:rPr>
        <w:t xml:space="preserve"> % nákladů celkem) se uvedené tři položky krmiv podílely přibližně 44, 24 a 32 %. </w:t>
      </w:r>
    </w:p>
    <w:p w:rsidR="00DD65A2" w:rsidRDefault="00DD65A2" w:rsidP="00DD65A2">
      <w:pPr>
        <w:rPr>
          <w:color w:val="222222"/>
        </w:rPr>
      </w:pPr>
      <w:r w:rsidRPr="003373DB">
        <w:rPr>
          <w:color w:val="222222"/>
          <w:spacing w:val="-2"/>
        </w:rPr>
        <w:t xml:space="preserve">Průměrné náklady odchovu telat </w:t>
      </w:r>
      <w:r w:rsidRPr="00902273">
        <w:rPr>
          <w:color w:val="222222"/>
          <w:spacing w:val="-2"/>
        </w:rPr>
        <w:t>vypočítané z dvanácti zahraničních souborů lze</w:t>
      </w:r>
      <w:r w:rsidRPr="003373DB">
        <w:rPr>
          <w:color w:val="222222"/>
          <w:spacing w:val="-2"/>
        </w:rPr>
        <w:t xml:space="preserve"> odhadnout na</w:t>
      </w:r>
      <w:r w:rsidRPr="00BB5F1B">
        <w:rPr>
          <w:color w:val="222222"/>
          <w:spacing w:val="-2"/>
        </w:rPr>
        <w:t xml:space="preserve"> </w:t>
      </w:r>
      <w:r>
        <w:rPr>
          <w:color w:val="222222"/>
          <w:spacing w:val="-2"/>
        </w:rPr>
        <w:t>6 567</w:t>
      </w:r>
      <w:r w:rsidRPr="00BB5F1B">
        <w:rPr>
          <w:color w:val="222222"/>
          <w:spacing w:val="-2"/>
        </w:rPr>
        <w:t xml:space="preserve"> Kč na tele</w:t>
      </w:r>
      <w:r w:rsidRPr="00667082">
        <w:rPr>
          <w:color w:val="222222"/>
          <w:spacing w:val="-2"/>
        </w:rPr>
        <w:t xml:space="preserve"> </w:t>
      </w:r>
      <w:r>
        <w:rPr>
          <w:color w:val="222222"/>
          <w:spacing w:val="-2"/>
        </w:rPr>
        <w:t xml:space="preserve">za </w:t>
      </w:r>
      <w:r>
        <w:rPr>
          <w:color w:val="222222"/>
        </w:rPr>
        <w:t>období</w:t>
      </w:r>
      <w:r w:rsidRPr="008D781B">
        <w:rPr>
          <w:color w:val="222222"/>
          <w:spacing w:val="-2"/>
        </w:rPr>
        <w:t xml:space="preserve"> mléčné výživy (průměr 6</w:t>
      </w:r>
      <w:r>
        <w:rPr>
          <w:color w:val="222222"/>
          <w:spacing w:val="-2"/>
        </w:rPr>
        <w:t>3</w:t>
      </w:r>
      <w:r w:rsidRPr="008D781B">
        <w:rPr>
          <w:color w:val="222222"/>
          <w:spacing w:val="-2"/>
        </w:rPr>
        <w:t xml:space="preserve"> dny) </w:t>
      </w:r>
      <w:r>
        <w:rPr>
          <w:color w:val="222222"/>
          <w:spacing w:val="-2"/>
        </w:rPr>
        <w:t>a na</w:t>
      </w:r>
      <w:r w:rsidRPr="008D781B">
        <w:rPr>
          <w:color w:val="222222"/>
          <w:spacing w:val="-2"/>
        </w:rPr>
        <w:t xml:space="preserve"> 1</w:t>
      </w:r>
      <w:r>
        <w:rPr>
          <w:color w:val="222222"/>
          <w:spacing w:val="-2"/>
        </w:rPr>
        <w:t xml:space="preserve">05 Kč na den odchovu (tab. 5). </w:t>
      </w:r>
      <w:r w:rsidRPr="00C216F3">
        <w:rPr>
          <w:color w:val="222222"/>
          <w:spacing w:val="-2"/>
        </w:rPr>
        <w:t>Polovina nákladů byla vynaložena na krmiva (mléko, mléčné náhražky, jadrné směsi,</w:t>
      </w:r>
      <w:r>
        <w:rPr>
          <w:color w:val="222222"/>
        </w:rPr>
        <w:t xml:space="preserve"> objemná krmiva), 30 % na pracovní náklady a zbytek (20 %) na ostatní položky (veterinární výkony a léky, odpisy, energie, opravy a údržba a další). Náklady na </w:t>
      </w:r>
      <w:r w:rsidRPr="008E5BE8">
        <w:rPr>
          <w:color w:val="222222"/>
          <w:spacing w:val="-2"/>
        </w:rPr>
        <w:t>tele kolísa</w:t>
      </w:r>
      <w:r>
        <w:rPr>
          <w:color w:val="222222"/>
          <w:spacing w:val="-2"/>
        </w:rPr>
        <w:t>ly</w:t>
      </w:r>
      <w:r w:rsidRPr="008E5BE8">
        <w:rPr>
          <w:color w:val="222222"/>
          <w:spacing w:val="-2"/>
        </w:rPr>
        <w:t xml:space="preserve"> mezi </w:t>
      </w:r>
      <w:r>
        <w:rPr>
          <w:color w:val="222222"/>
          <w:spacing w:val="-2"/>
        </w:rPr>
        <w:t xml:space="preserve">1 932 a </w:t>
      </w:r>
      <w:r w:rsidRPr="001C39DC">
        <w:rPr>
          <w:color w:val="222222"/>
          <w:spacing w:val="-2"/>
        </w:rPr>
        <w:t>8 228 Kč, na krmiva mezi 1 118 a 4 642 Kč a pracovní náklady mezi 459 a 3 371 Kč.</w:t>
      </w:r>
      <w:r>
        <w:rPr>
          <w:color w:val="222222"/>
        </w:rPr>
        <w:t xml:space="preserve"> </w:t>
      </w:r>
      <w:r w:rsidRPr="00FD2427">
        <w:rPr>
          <w:color w:val="222222"/>
          <w:spacing w:val="-2"/>
        </w:rPr>
        <w:t xml:space="preserve">Obdobnou variabilitu vykazují i náklady na den odchovu. </w:t>
      </w:r>
    </w:p>
    <w:p w:rsidR="00DD65A2" w:rsidRDefault="00DD65A2" w:rsidP="00DD65A2">
      <w:pPr>
        <w:spacing w:line="120" w:lineRule="auto"/>
        <w:rPr>
          <w:bCs/>
          <w:spacing w:val="-2"/>
        </w:rPr>
      </w:pPr>
    </w:p>
    <w:p w:rsidR="006A4E5A" w:rsidRDefault="006A4E5A" w:rsidP="00C41CC5">
      <w:pPr>
        <w:pStyle w:val="Nadpis3"/>
        <w:sectPr w:rsidR="006A4E5A" w:rsidSect="001A30E1">
          <w:pgSz w:w="11906" w:h="16838" w:code="9"/>
          <w:pgMar w:top="1134" w:right="964" w:bottom="1134" w:left="964" w:header="680" w:footer="624" w:gutter="0"/>
          <w:cols w:space="708"/>
          <w:docGrid w:linePitch="360"/>
        </w:sectPr>
      </w:pPr>
    </w:p>
    <w:p w:rsidR="00DD65A2" w:rsidRPr="009A61B4" w:rsidRDefault="00DD65A2" w:rsidP="00C41CC5">
      <w:pPr>
        <w:pStyle w:val="Nadpis3"/>
      </w:pPr>
      <w:r w:rsidRPr="0039552C">
        <w:lastRenderedPageBreak/>
        <w:t xml:space="preserve">Tab. </w:t>
      </w:r>
      <w:r>
        <w:t>5</w:t>
      </w:r>
      <w:r w:rsidRPr="0039552C">
        <w:t xml:space="preserve"> Náklady na odchované tele </w:t>
      </w:r>
      <w:r>
        <w:t xml:space="preserve">v zahraničí </w:t>
      </w:r>
      <w:r w:rsidRPr="0039552C">
        <w:t>(orientační ukazatele)</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Look w:val="04A0" w:firstRow="1" w:lastRow="0" w:firstColumn="1" w:lastColumn="0" w:noHBand="0" w:noVBand="1"/>
      </w:tblPr>
      <w:tblGrid>
        <w:gridCol w:w="1155"/>
        <w:gridCol w:w="993"/>
        <w:gridCol w:w="993"/>
        <w:gridCol w:w="993"/>
        <w:gridCol w:w="993"/>
        <w:gridCol w:w="993"/>
        <w:gridCol w:w="993"/>
        <w:gridCol w:w="993"/>
        <w:gridCol w:w="993"/>
        <w:gridCol w:w="993"/>
      </w:tblGrid>
      <w:tr w:rsidR="00DD65A2" w:rsidRPr="0039552C"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vMerge w:val="restart"/>
            <w:tcBorders>
              <w:top w:val="none" w:sz="0" w:space="0" w:color="auto"/>
              <w:left w:val="none" w:sz="0" w:space="0" w:color="auto"/>
              <w:bottom w:val="none" w:sz="0" w:space="0" w:color="auto"/>
              <w:right w:val="none" w:sz="0" w:space="0" w:color="auto"/>
            </w:tcBorders>
            <w:shd w:val="clear" w:color="auto" w:fill="auto"/>
            <w:tcMar>
              <w:left w:w="57" w:type="dxa"/>
              <w:right w:w="57" w:type="dxa"/>
            </w:tcMar>
            <w:vAlign w:val="center"/>
          </w:tcPr>
          <w:p w:rsidR="00DD65A2" w:rsidRPr="0039552C" w:rsidRDefault="00DD65A2" w:rsidP="00744FCE">
            <w:pPr>
              <w:spacing w:before="40" w:line="264" w:lineRule="auto"/>
              <w:jc w:val="center"/>
              <w:rPr>
                <w:b w:val="0"/>
              </w:rPr>
            </w:pPr>
            <w:r>
              <w:rPr>
                <w:b w:val="0"/>
              </w:rPr>
              <w:t>Ukazatel</w:t>
            </w:r>
          </w:p>
        </w:tc>
        <w:tc>
          <w:tcPr>
            <w:tcW w:w="492" w:type="pct"/>
            <w:vMerge w:val="restart"/>
            <w:tcBorders>
              <w:top w:val="none" w:sz="0" w:space="0" w:color="auto"/>
              <w:left w:val="none" w:sz="0" w:space="0" w:color="auto"/>
              <w:bottom w:val="none" w:sz="0" w:space="0" w:color="auto"/>
              <w:right w:val="none" w:sz="0" w:space="0" w:color="auto"/>
            </w:tcBorders>
            <w:shd w:val="clear" w:color="auto" w:fill="auto"/>
            <w:tcMar>
              <w:left w:w="57" w:type="dxa"/>
              <w:right w:w="57" w:type="dxa"/>
            </w:tcMar>
            <w:vAlign w:val="center"/>
          </w:tcPr>
          <w:p w:rsidR="00DD65A2" w:rsidRPr="0039552C" w:rsidRDefault="00DD65A2" w:rsidP="00744FCE">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39552C">
              <w:rPr>
                <w:b w:val="0"/>
              </w:rPr>
              <w:t xml:space="preserve">odchov </w:t>
            </w:r>
          </w:p>
          <w:p w:rsidR="00DD65A2" w:rsidRPr="0039552C" w:rsidRDefault="00DD65A2" w:rsidP="00744FCE">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39552C">
              <w:rPr>
                <w:b w:val="0"/>
              </w:rPr>
              <w:t>dn</w:t>
            </w:r>
            <w:r>
              <w:rPr>
                <w:b w:val="0"/>
              </w:rPr>
              <w:t>ů</w:t>
            </w:r>
            <w:r w:rsidRPr="0039552C">
              <w:rPr>
                <w:b w:val="0"/>
              </w:rPr>
              <w:t xml:space="preserve"> </w:t>
            </w:r>
          </w:p>
        </w:tc>
        <w:tc>
          <w:tcPr>
            <w:tcW w:w="1968" w:type="pct"/>
            <w:gridSpan w:val="4"/>
            <w:tcBorders>
              <w:top w:val="none" w:sz="0" w:space="0" w:color="auto"/>
              <w:left w:val="none" w:sz="0" w:space="0" w:color="auto"/>
              <w:bottom w:val="none" w:sz="0" w:space="0" w:color="auto"/>
              <w:right w:val="none" w:sz="0" w:space="0" w:color="auto"/>
            </w:tcBorders>
            <w:shd w:val="clear" w:color="auto" w:fill="F2F2F2" w:themeFill="background1" w:themeFillShade="F2"/>
            <w:tcMar>
              <w:left w:w="57" w:type="dxa"/>
              <w:right w:w="57" w:type="dxa"/>
            </w:tcMar>
            <w:vAlign w:val="center"/>
          </w:tcPr>
          <w:p w:rsidR="00DD65A2" w:rsidRPr="00852F96" w:rsidRDefault="00DD65A2" w:rsidP="00744FCE">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 xml:space="preserve"> Kč</w:t>
            </w:r>
            <w:r w:rsidRPr="00852F96">
              <w:rPr>
                <w:b w:val="0"/>
                <w:vertAlign w:val="superscript"/>
              </w:rPr>
              <w:t>1)</w:t>
            </w:r>
            <w:r w:rsidRPr="00852F96">
              <w:rPr>
                <w:b w:val="0"/>
              </w:rPr>
              <w:t>/odchované tele</w:t>
            </w:r>
          </w:p>
        </w:tc>
        <w:tc>
          <w:tcPr>
            <w:tcW w:w="1968" w:type="pct"/>
            <w:gridSpan w:val="4"/>
            <w:tcBorders>
              <w:top w:val="none" w:sz="0" w:space="0" w:color="auto"/>
              <w:left w:val="none" w:sz="0" w:space="0" w:color="auto"/>
              <w:bottom w:val="none" w:sz="0" w:space="0" w:color="auto"/>
              <w:right w:val="none" w:sz="0" w:space="0" w:color="auto"/>
            </w:tcBorders>
            <w:shd w:val="clear" w:color="auto" w:fill="F2F2F2" w:themeFill="background1" w:themeFillShade="F2"/>
            <w:tcMar>
              <w:left w:w="57" w:type="dxa"/>
              <w:right w:w="57" w:type="dxa"/>
            </w:tcMar>
            <w:vAlign w:val="center"/>
          </w:tcPr>
          <w:p w:rsidR="00DD65A2" w:rsidRPr="00852F96" w:rsidRDefault="00DD65A2" w:rsidP="00744FCE">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Kč</w:t>
            </w:r>
            <w:r w:rsidRPr="00852F96">
              <w:rPr>
                <w:b w:val="0"/>
                <w:vertAlign w:val="superscript"/>
              </w:rPr>
              <w:t>1)</w:t>
            </w:r>
            <w:r w:rsidRPr="00852F96">
              <w:rPr>
                <w:b w:val="0"/>
              </w:rPr>
              <w:t>/den odchovu</w:t>
            </w:r>
          </w:p>
        </w:tc>
      </w:tr>
      <w:tr w:rsidR="00744FCE" w:rsidRPr="0039552C"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vMerge/>
            <w:tcBorders>
              <w:left w:val="none" w:sz="0" w:space="0" w:color="auto"/>
              <w:right w:val="none" w:sz="0" w:space="0" w:color="auto"/>
            </w:tcBorders>
            <w:shd w:val="clear" w:color="auto" w:fill="auto"/>
            <w:tcMar>
              <w:left w:w="57" w:type="dxa"/>
              <w:right w:w="57" w:type="dxa"/>
            </w:tcMar>
          </w:tcPr>
          <w:p w:rsidR="00DD65A2" w:rsidRPr="00692AF5" w:rsidRDefault="00DD65A2" w:rsidP="00744FCE">
            <w:pPr>
              <w:spacing w:before="40" w:line="264" w:lineRule="auto"/>
              <w:jc w:val="center"/>
            </w:pPr>
          </w:p>
        </w:tc>
        <w:tc>
          <w:tcPr>
            <w:tcW w:w="492" w:type="pct"/>
            <w:vMerge/>
            <w:tcBorders>
              <w:left w:val="none" w:sz="0" w:space="0" w:color="auto"/>
              <w:right w:val="none" w:sz="0" w:space="0" w:color="auto"/>
            </w:tcBorders>
            <w:shd w:val="clear" w:color="auto" w:fill="auto"/>
            <w:tcMar>
              <w:left w:w="57" w:type="dxa"/>
              <w:right w:w="57" w:type="dxa"/>
            </w:tcMa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44FCE">
              <w:t>krmiva</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vertAlign w:val="superscript"/>
              </w:rPr>
            </w:pPr>
            <w:r w:rsidRPr="00744FCE">
              <w:rPr>
                <w:spacing w:val="-2"/>
              </w:rPr>
              <w:t>práce</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44FCE">
              <w:rPr>
                <w:color w:val="000000"/>
              </w:rPr>
              <w:t>ostatní</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44FCE">
              <w:t>celkem</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744FCE">
              <w:t>krmiva</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vertAlign w:val="superscript"/>
              </w:rPr>
            </w:pPr>
            <w:r w:rsidRPr="00744FCE">
              <w:rPr>
                <w:spacing w:val="-2"/>
              </w:rPr>
              <w:t>práce</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44FCE">
              <w:rPr>
                <w:color w:val="000000"/>
              </w:rPr>
              <w:t>ostatní</w:t>
            </w:r>
          </w:p>
        </w:tc>
        <w:tc>
          <w:tcPr>
            <w:tcW w:w="492"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744FCE"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44FCE">
              <w:t>celkem</w:t>
            </w:r>
          </w:p>
        </w:tc>
      </w:tr>
      <w:tr w:rsidR="00DD65A2" w:rsidRPr="0039552C" w:rsidTr="001D12F5">
        <w:tc>
          <w:tcPr>
            <w:cnfStyle w:val="001000000000" w:firstRow="0" w:lastRow="0" w:firstColumn="1" w:lastColumn="0" w:oddVBand="0" w:evenVBand="0" w:oddHBand="0" w:evenHBand="0" w:firstRowFirstColumn="0" w:firstRowLastColumn="0" w:lastRowFirstColumn="0" w:lastRowLastColumn="0"/>
            <w:tcW w:w="572" w:type="pct"/>
            <w:shd w:val="clear" w:color="auto" w:fill="F2F2F2" w:themeFill="background1" w:themeFillShade="F2"/>
            <w:tcMar>
              <w:left w:w="57" w:type="dxa"/>
              <w:right w:w="57" w:type="dxa"/>
            </w:tcMar>
          </w:tcPr>
          <w:p w:rsidR="00DD65A2" w:rsidRPr="001D12F5" w:rsidRDefault="00DD65A2" w:rsidP="00744FCE">
            <w:pPr>
              <w:spacing w:before="40" w:line="264" w:lineRule="auto"/>
              <w:jc w:val="center"/>
              <w:rPr>
                <w:b w:val="0"/>
              </w:rPr>
            </w:pPr>
            <w:r w:rsidRPr="001D12F5">
              <w:rPr>
                <w:b w:val="0"/>
              </w:rPr>
              <w:t>průměr</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3 200</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1 990</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1 377</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6 567</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105</w:t>
            </w:r>
          </w:p>
        </w:tc>
      </w:tr>
      <w:tr w:rsidR="00DD65A2" w:rsidRPr="0039552C"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tcBorders>
              <w:left w:val="none" w:sz="0" w:space="0" w:color="auto"/>
              <w:right w:val="none" w:sz="0" w:space="0" w:color="auto"/>
            </w:tcBorders>
            <w:shd w:val="clear" w:color="auto" w:fill="F2F2F2" w:themeFill="background1" w:themeFillShade="F2"/>
            <w:tcMar>
              <w:left w:w="57" w:type="dxa"/>
              <w:right w:w="57" w:type="dxa"/>
            </w:tcMar>
          </w:tcPr>
          <w:p w:rsidR="00DD65A2" w:rsidRPr="001D12F5" w:rsidRDefault="00DD65A2" w:rsidP="00744FCE">
            <w:pPr>
              <w:spacing w:before="40" w:line="264" w:lineRule="auto"/>
              <w:jc w:val="center"/>
              <w:rPr>
                <w:b w:val="0"/>
              </w:rPr>
            </w:pPr>
            <w:r w:rsidRPr="001D12F5">
              <w:rPr>
                <w:b w:val="0"/>
              </w:rPr>
              <w:t>%</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x</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49</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49</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r>
      <w:tr w:rsidR="00DD65A2" w:rsidRPr="0039552C" w:rsidTr="001D12F5">
        <w:tc>
          <w:tcPr>
            <w:cnfStyle w:val="001000000000" w:firstRow="0" w:lastRow="0" w:firstColumn="1" w:lastColumn="0" w:oddVBand="0" w:evenVBand="0" w:oddHBand="0" w:evenHBand="0" w:firstRowFirstColumn="0" w:firstRowLastColumn="0" w:lastRowFirstColumn="0" w:lastRowLastColumn="0"/>
            <w:tcW w:w="572" w:type="pct"/>
            <w:shd w:val="clear" w:color="auto" w:fill="F2F2F2" w:themeFill="background1" w:themeFillShade="F2"/>
            <w:tcMar>
              <w:left w:w="57" w:type="dxa"/>
              <w:right w:w="57" w:type="dxa"/>
            </w:tcMar>
          </w:tcPr>
          <w:p w:rsidR="00DD65A2" w:rsidRPr="001D12F5" w:rsidRDefault="00DD65A2" w:rsidP="00744FCE">
            <w:pPr>
              <w:spacing w:before="40" w:line="264" w:lineRule="auto"/>
              <w:jc w:val="center"/>
              <w:rPr>
                <w:b w:val="0"/>
              </w:rPr>
            </w:pPr>
            <w:r w:rsidRPr="001D12F5">
              <w:rPr>
                <w:b w:val="0"/>
              </w:rPr>
              <w:t>min.</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1 118</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459</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355</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1 932</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492" w:type="pct"/>
            <w:shd w:val="clear" w:color="auto" w:fill="auto"/>
            <w:tcMar>
              <w:left w:w="57" w:type="dxa"/>
              <w:right w:w="57" w:type="dxa"/>
            </w:tcMar>
            <w:vAlign w:val="center"/>
          </w:tcPr>
          <w:p w:rsidR="00DD65A2" w:rsidRDefault="00DD65A2" w:rsidP="00744FCE">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r>
      <w:tr w:rsidR="00DD65A2" w:rsidRPr="0039552C"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pct"/>
            <w:tcBorders>
              <w:left w:val="none" w:sz="0" w:space="0" w:color="auto"/>
              <w:right w:val="none" w:sz="0" w:space="0" w:color="auto"/>
            </w:tcBorders>
            <w:shd w:val="clear" w:color="auto" w:fill="F2F2F2" w:themeFill="background1" w:themeFillShade="F2"/>
            <w:tcMar>
              <w:left w:w="57" w:type="dxa"/>
              <w:right w:w="57" w:type="dxa"/>
            </w:tcMar>
          </w:tcPr>
          <w:p w:rsidR="00DD65A2" w:rsidRPr="001D12F5" w:rsidRDefault="00DD65A2" w:rsidP="00744FCE">
            <w:pPr>
              <w:spacing w:before="40" w:line="264" w:lineRule="auto"/>
              <w:jc w:val="center"/>
              <w:rPr>
                <w:b w:val="0"/>
              </w:rPr>
            </w:pPr>
            <w:r w:rsidRPr="001D12F5">
              <w:rPr>
                <w:b w:val="0"/>
              </w:rPr>
              <w:t>max.</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91</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4 642</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3 371</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215</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8 228</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77</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63</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492" w:type="pct"/>
            <w:tcBorders>
              <w:left w:val="none" w:sz="0" w:space="0" w:color="auto"/>
              <w:right w:val="none" w:sz="0" w:space="0" w:color="auto"/>
            </w:tcBorders>
            <w:shd w:val="clear" w:color="auto" w:fill="auto"/>
            <w:tcMar>
              <w:left w:w="57" w:type="dxa"/>
              <w:right w:w="57" w:type="dxa"/>
            </w:tcMar>
            <w:vAlign w:val="center"/>
          </w:tcPr>
          <w:p w:rsidR="00DD65A2" w:rsidRDefault="00DD65A2" w:rsidP="00744FCE">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151</w:t>
            </w:r>
          </w:p>
        </w:tc>
      </w:tr>
    </w:tbl>
    <w:p w:rsidR="00DD65A2" w:rsidRPr="0082563A" w:rsidRDefault="00DD65A2" w:rsidP="00DD65A2">
      <w:pPr>
        <w:rPr>
          <w:i/>
          <w:sz w:val="18"/>
          <w:szCs w:val="18"/>
        </w:rPr>
      </w:pPr>
      <w:r w:rsidRPr="0082563A">
        <w:rPr>
          <w:i/>
          <w:sz w:val="18"/>
          <w:szCs w:val="18"/>
        </w:rPr>
        <w:t>1) 1 € = 26,00 Kč; 1 US$ = 22,00 Kč; 1 GBP (britská libra) = 29,00 Kč.</w:t>
      </w:r>
    </w:p>
    <w:p w:rsidR="00DD65A2" w:rsidRDefault="00DD65A2" w:rsidP="00DD65A2">
      <w:pPr>
        <w:spacing w:line="120" w:lineRule="auto"/>
        <w:rPr>
          <w:b/>
        </w:rPr>
      </w:pPr>
    </w:p>
    <w:p w:rsidR="00DD65A2" w:rsidRDefault="00DD65A2" w:rsidP="00DD65A2">
      <w:pPr>
        <w:rPr>
          <w:color w:val="222222"/>
        </w:rPr>
      </w:pPr>
      <w:r w:rsidRPr="00FD2427">
        <w:rPr>
          <w:color w:val="222222"/>
          <w:spacing w:val="-2"/>
        </w:rPr>
        <w:t xml:space="preserve">Příklad </w:t>
      </w:r>
      <w:r>
        <w:rPr>
          <w:color w:val="222222"/>
          <w:spacing w:val="-2"/>
        </w:rPr>
        <w:t xml:space="preserve">nákladů a jejich hlavních zjišťovaných položek </w:t>
      </w:r>
      <w:r>
        <w:rPr>
          <w:color w:val="222222"/>
        </w:rPr>
        <w:t xml:space="preserve">na tele a den odchovu v německých a </w:t>
      </w:r>
      <w:r w:rsidRPr="00327F69">
        <w:rPr>
          <w:color w:val="222222"/>
          <w:spacing w:val="-2"/>
        </w:rPr>
        <w:t>britských podnicích uvádí tab. 6. U obou souborů představují největší položku nákladů</w:t>
      </w:r>
      <w:r>
        <w:rPr>
          <w:color w:val="222222"/>
        </w:rPr>
        <w:t xml:space="preserve"> krmiva (59 a 49 %), dalšími pak pracovní náklady a veterinární výkony. Náklady na odchované tele jsou u německého souboru téměř o 2 000 Kč a 35 % vyšší než u souboru britského.</w:t>
      </w:r>
    </w:p>
    <w:p w:rsidR="00DD65A2" w:rsidRDefault="00DD65A2" w:rsidP="00DD65A2">
      <w:pPr>
        <w:spacing w:line="120" w:lineRule="auto"/>
        <w:rPr>
          <w:b/>
        </w:rPr>
      </w:pPr>
    </w:p>
    <w:p w:rsidR="00DD65A2" w:rsidRPr="008A24A0" w:rsidRDefault="00DD65A2" w:rsidP="00CD0BE3">
      <w:pPr>
        <w:pStyle w:val="Nadpis3"/>
      </w:pPr>
      <w:r w:rsidRPr="008A24A0">
        <w:t xml:space="preserve">Tab. </w:t>
      </w:r>
      <w:r>
        <w:t>6</w:t>
      </w:r>
      <w:r w:rsidRPr="008A24A0">
        <w:t xml:space="preserve"> </w:t>
      </w:r>
      <w:r>
        <w:t>N</w:t>
      </w:r>
      <w:r w:rsidRPr="008A24A0">
        <w:t>áklad</w:t>
      </w:r>
      <w:r>
        <w:t>y</w:t>
      </w:r>
      <w:r w:rsidRPr="008A24A0">
        <w:t xml:space="preserve"> odchovu telat u dvou zahraničních souborů</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2630"/>
        <w:gridCol w:w="1260"/>
        <w:gridCol w:w="1260"/>
        <w:gridCol w:w="1262"/>
        <w:gridCol w:w="1260"/>
        <w:gridCol w:w="1260"/>
        <w:gridCol w:w="1262"/>
      </w:tblGrid>
      <w:tr w:rsidR="00DD65A2"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Pr="00985191" w:rsidRDefault="00DD65A2" w:rsidP="00CD0BE3">
            <w:pPr>
              <w:spacing w:before="40" w:line="264" w:lineRule="auto"/>
              <w:jc w:val="center"/>
              <w:rPr>
                <w:b w:val="0"/>
              </w:rPr>
            </w:pPr>
            <w:r w:rsidRPr="00985191">
              <w:rPr>
                <w:b w:val="0"/>
                <w:color w:val="000000"/>
              </w:rPr>
              <w:t>Položka, ukazatel</w:t>
            </w:r>
          </w:p>
        </w:tc>
        <w:tc>
          <w:tcPr>
            <w:tcW w:w="1855"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bottom"/>
          </w:tcPr>
          <w:p w:rsidR="00DD65A2" w:rsidRPr="00852F96" w:rsidRDefault="00DD65A2" w:rsidP="00CD0BE3">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852F96">
              <w:rPr>
                <w:b w:val="0"/>
                <w:color w:val="000000"/>
              </w:rPr>
              <w:t>německý soubor</w:t>
            </w:r>
            <w:r w:rsidRPr="00852F96">
              <w:rPr>
                <w:b w:val="0"/>
                <w:color w:val="000000"/>
                <w:vertAlign w:val="superscript"/>
              </w:rPr>
              <w:t>1)</w:t>
            </w:r>
            <w:r w:rsidRPr="00852F96">
              <w:rPr>
                <w:b w:val="0"/>
                <w:color w:val="000000"/>
              </w:rPr>
              <w:t xml:space="preserve"> (1 € = 26 Kč)</w:t>
            </w:r>
          </w:p>
        </w:tc>
        <w:tc>
          <w:tcPr>
            <w:tcW w:w="1855"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bottom"/>
          </w:tcPr>
          <w:p w:rsidR="00DD65A2" w:rsidRPr="00852F96" w:rsidRDefault="00DD65A2" w:rsidP="00CD0BE3">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britský soubor</w:t>
            </w:r>
            <w:r w:rsidRPr="00852F96">
              <w:rPr>
                <w:b w:val="0"/>
                <w:vertAlign w:val="superscript"/>
              </w:rPr>
              <w:t>2)</w:t>
            </w:r>
            <w:r w:rsidRPr="00852F96">
              <w:rPr>
                <w:b w:val="0"/>
              </w:rPr>
              <w:t xml:space="preserve"> (1 £ = 29 Kč)</w:t>
            </w:r>
          </w:p>
        </w:tc>
      </w:tr>
      <w:tr w:rsidR="00CD0BE3"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vMerge/>
            <w:tcBorders>
              <w:left w:val="none" w:sz="0" w:space="0" w:color="auto"/>
              <w:right w:val="none" w:sz="0" w:space="0" w:color="auto"/>
            </w:tcBorders>
            <w:shd w:val="clear" w:color="auto" w:fill="auto"/>
            <w:vAlign w:val="bottom"/>
          </w:tcPr>
          <w:p w:rsidR="00DD65A2" w:rsidRPr="00985191" w:rsidRDefault="00DD65A2" w:rsidP="00CD0BE3">
            <w:pPr>
              <w:spacing w:before="40" w:line="264" w:lineRule="auto"/>
              <w:rPr>
                <w:b w:val="0"/>
                <w:color w:val="000000"/>
              </w:rPr>
            </w:pPr>
          </w:p>
        </w:tc>
        <w:tc>
          <w:tcPr>
            <w:tcW w:w="618"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Kč/den</w:t>
            </w:r>
          </w:p>
        </w:tc>
        <w:tc>
          <w:tcPr>
            <w:tcW w:w="618"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Kč/tele</w:t>
            </w:r>
          </w:p>
        </w:tc>
        <w:tc>
          <w:tcPr>
            <w:tcW w:w="619"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618"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Kč/den</w:t>
            </w:r>
          </w:p>
        </w:tc>
        <w:tc>
          <w:tcPr>
            <w:tcW w:w="618"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Kč/tele</w:t>
            </w:r>
          </w:p>
        </w:tc>
        <w:tc>
          <w:tcPr>
            <w:tcW w:w="619" w:type="pct"/>
            <w:tcBorders>
              <w:left w:val="none" w:sz="0" w:space="0" w:color="auto"/>
              <w:right w:val="none" w:sz="0" w:space="0" w:color="auto"/>
            </w:tcBorders>
            <w:shd w:val="clear" w:color="auto" w:fill="F2F2F2" w:themeFill="background1" w:themeFillShade="F2"/>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r w:rsidR="00DD65A2" w:rsidTr="001D12F5">
        <w:tc>
          <w:tcPr>
            <w:cnfStyle w:val="001000000000" w:firstRow="0" w:lastRow="0" w:firstColumn="1" w:lastColumn="0" w:oddVBand="0" w:evenVBand="0" w:oddHBand="0" w:evenHBand="0" w:firstRowFirstColumn="0" w:firstRowLastColumn="0" w:lastRowFirstColumn="0" w:lastRowLastColumn="0"/>
            <w:tcW w:w="1290" w:type="pct"/>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mlezivo, mléko, MKS</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48,95</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3 424</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44,8</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35,89</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2 231</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39,4</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tcBorders>
              <w:left w:val="none" w:sz="0" w:space="0" w:color="auto"/>
              <w:right w:val="none" w:sz="0" w:space="0" w:color="auto"/>
            </w:tcBorders>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jadrná směs</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10,15</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710</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9,3</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8,19</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510</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9,0</w:t>
            </w:r>
          </w:p>
        </w:tc>
      </w:tr>
      <w:tr w:rsidR="00DD65A2" w:rsidTr="001D12F5">
        <w:tc>
          <w:tcPr>
            <w:cnfStyle w:val="001000000000" w:firstRow="0" w:lastRow="0" w:firstColumn="1" w:lastColumn="0" w:oddVBand="0" w:evenVBand="0" w:oddHBand="0" w:evenHBand="0" w:firstRowFirstColumn="0" w:firstRowLastColumn="0" w:lastRowFirstColumn="0" w:lastRowLastColumn="0"/>
            <w:tcW w:w="1290" w:type="pct"/>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objemná krmiva</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5,21</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364</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0,09</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0,1</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tcBorders>
              <w:left w:val="none" w:sz="0" w:space="0" w:color="auto"/>
              <w:right w:val="none" w:sz="0" w:space="0" w:color="auto"/>
            </w:tcBorders>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krmiva celkem</w:t>
            </w:r>
          </w:p>
        </w:tc>
        <w:tc>
          <w:tcPr>
            <w:tcW w:w="618"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64,31</w:t>
            </w:r>
          </w:p>
        </w:tc>
        <w:tc>
          <w:tcPr>
            <w:tcW w:w="618"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4 498</w:t>
            </w:r>
          </w:p>
        </w:tc>
        <w:tc>
          <w:tcPr>
            <w:tcW w:w="619"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58,9</w:t>
            </w:r>
          </w:p>
        </w:tc>
        <w:tc>
          <w:tcPr>
            <w:tcW w:w="618"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44,17</w:t>
            </w:r>
          </w:p>
        </w:tc>
        <w:tc>
          <w:tcPr>
            <w:tcW w:w="618"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2747</w:t>
            </w:r>
          </w:p>
        </w:tc>
        <w:tc>
          <w:tcPr>
            <w:tcW w:w="619" w:type="pct"/>
            <w:tcBorders>
              <w:left w:val="none" w:sz="0" w:space="0" w:color="auto"/>
              <w:right w:val="none" w:sz="0" w:space="0" w:color="auto"/>
            </w:tcBorders>
            <w:shd w:val="clear" w:color="auto" w:fill="auto"/>
            <w:vAlign w:val="bottom"/>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48,5</w:t>
            </w:r>
          </w:p>
        </w:tc>
      </w:tr>
      <w:tr w:rsidR="00DD65A2" w:rsidTr="001D12F5">
        <w:tc>
          <w:tcPr>
            <w:cnfStyle w:val="001000000000" w:firstRow="0" w:lastRow="0" w:firstColumn="1" w:lastColumn="0" w:oddVBand="0" w:evenVBand="0" w:oddHBand="0" w:evenHBand="0" w:firstRowFirstColumn="0" w:firstRowLastColumn="0" w:lastRowFirstColumn="0" w:lastRowLastColumn="0"/>
            <w:tcW w:w="1290" w:type="pct"/>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pracovní náklady</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22,78</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1 531</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20,8</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10,2</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634</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11,2</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tcBorders>
              <w:left w:val="none" w:sz="0" w:space="0" w:color="auto"/>
              <w:right w:val="none" w:sz="0" w:space="0" w:color="auto"/>
            </w:tcBorders>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veterinární výkony</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5,57</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390</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5,1</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12,3</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764</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13,5</w:t>
            </w:r>
          </w:p>
        </w:tc>
      </w:tr>
      <w:tr w:rsidR="00DD65A2" w:rsidTr="001D12F5">
        <w:tc>
          <w:tcPr>
            <w:cnfStyle w:val="001000000000" w:firstRow="0" w:lastRow="0" w:firstColumn="1" w:lastColumn="0" w:oddVBand="0" w:evenVBand="0" w:oddHBand="0" w:evenHBand="0" w:firstRowFirstColumn="0" w:firstRowLastColumn="0" w:lastRowFirstColumn="0" w:lastRowLastColumn="0"/>
            <w:tcW w:w="1290" w:type="pct"/>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odpisy a údržba stájí</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5,13</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359</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3,92</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244</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pct"/>
            <w:tcBorders>
              <w:left w:val="none" w:sz="0" w:space="0" w:color="auto"/>
              <w:right w:val="none" w:sz="0" w:space="0" w:color="auto"/>
            </w:tcBorders>
            <w:shd w:val="clear" w:color="auto" w:fill="F2F2F2" w:themeFill="background1" w:themeFillShade="F2"/>
            <w:vAlign w:val="bottom"/>
          </w:tcPr>
          <w:p w:rsidR="00DD65A2" w:rsidRPr="001D12F5" w:rsidRDefault="00DD65A2" w:rsidP="00CD0BE3">
            <w:pPr>
              <w:spacing w:before="40" w:line="264" w:lineRule="auto"/>
              <w:rPr>
                <w:b w:val="0"/>
                <w:color w:val="000000"/>
                <w:vertAlign w:val="superscript"/>
              </w:rPr>
            </w:pPr>
            <w:r w:rsidRPr="001D12F5">
              <w:rPr>
                <w:b w:val="0"/>
                <w:color w:val="000000"/>
              </w:rPr>
              <w:t>ostatní položky</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11,42</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799</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10,5</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20,48</w:t>
            </w:r>
          </w:p>
        </w:tc>
        <w:tc>
          <w:tcPr>
            <w:tcW w:w="618"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1 274</w:t>
            </w:r>
          </w:p>
        </w:tc>
        <w:tc>
          <w:tcPr>
            <w:tcW w:w="619" w:type="pct"/>
            <w:tcBorders>
              <w:left w:val="none" w:sz="0" w:space="0" w:color="auto"/>
              <w:right w:val="none" w:sz="0" w:space="0" w:color="auto"/>
            </w:tcBorders>
            <w:shd w:val="clear" w:color="auto" w:fill="auto"/>
            <w:vAlign w:val="center"/>
          </w:tcPr>
          <w:p w:rsidR="00DD65A2" w:rsidRDefault="00DD65A2" w:rsidP="00CD0BE3">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22,5</w:t>
            </w:r>
          </w:p>
        </w:tc>
      </w:tr>
      <w:tr w:rsidR="00DD65A2" w:rsidTr="001D12F5">
        <w:tc>
          <w:tcPr>
            <w:cnfStyle w:val="001000000000" w:firstRow="0" w:lastRow="0" w:firstColumn="1" w:lastColumn="0" w:oddVBand="0" w:evenVBand="0" w:oddHBand="0" w:evenHBand="0" w:firstRowFirstColumn="0" w:firstRowLastColumn="0" w:lastRowFirstColumn="0" w:lastRowLastColumn="0"/>
            <w:tcW w:w="1290" w:type="pct"/>
            <w:shd w:val="clear" w:color="auto" w:fill="F2F2F2" w:themeFill="background1" w:themeFillShade="F2"/>
            <w:vAlign w:val="bottom"/>
          </w:tcPr>
          <w:p w:rsidR="00DD65A2" w:rsidRPr="001D12F5" w:rsidRDefault="00DD65A2" w:rsidP="00CD0BE3">
            <w:pPr>
              <w:spacing w:before="40" w:line="264" w:lineRule="auto"/>
              <w:rPr>
                <w:b w:val="0"/>
                <w:color w:val="000000"/>
              </w:rPr>
            </w:pPr>
            <w:r w:rsidRPr="001D12F5">
              <w:rPr>
                <w:b w:val="0"/>
                <w:color w:val="000000"/>
              </w:rPr>
              <w:t>náklady celkem</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109,21</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7 618</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91,07</w:t>
            </w:r>
          </w:p>
        </w:tc>
        <w:tc>
          <w:tcPr>
            <w:tcW w:w="618"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5 659</w:t>
            </w:r>
          </w:p>
        </w:tc>
        <w:tc>
          <w:tcPr>
            <w:tcW w:w="619" w:type="pct"/>
            <w:shd w:val="clear" w:color="auto" w:fill="auto"/>
            <w:vAlign w:val="center"/>
          </w:tcPr>
          <w:p w:rsidR="00DD65A2" w:rsidRDefault="00DD65A2" w:rsidP="00CD0BE3">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bl>
    <w:p w:rsidR="00DD65A2" w:rsidRPr="0082563A" w:rsidRDefault="00DD65A2" w:rsidP="00DD65A2">
      <w:pPr>
        <w:rPr>
          <w:i/>
          <w:sz w:val="18"/>
          <w:szCs w:val="18"/>
          <w:lang w:val="en-US"/>
        </w:rPr>
      </w:pPr>
      <w:r w:rsidRPr="0082563A">
        <w:rPr>
          <w:i/>
          <w:sz w:val="18"/>
          <w:szCs w:val="18"/>
        </w:rPr>
        <w:t>1) podle L</w:t>
      </w:r>
      <w:r w:rsidRPr="0082563A">
        <w:rPr>
          <w:i/>
          <w:sz w:val="18"/>
          <w:szCs w:val="18"/>
          <w:lang w:val="en-US"/>
        </w:rPr>
        <w:t>ührmanna (2015);</w:t>
      </w:r>
    </w:p>
    <w:p w:rsidR="00DD65A2" w:rsidRPr="0082563A" w:rsidRDefault="00DD65A2" w:rsidP="00CD0BE3">
      <w:pPr>
        <w:spacing w:before="0"/>
        <w:rPr>
          <w:i/>
          <w:sz w:val="18"/>
          <w:szCs w:val="18"/>
        </w:rPr>
      </w:pPr>
      <w:r w:rsidRPr="0082563A">
        <w:rPr>
          <w:i/>
          <w:sz w:val="18"/>
          <w:szCs w:val="18"/>
          <w:lang w:val="en-US"/>
        </w:rPr>
        <w:t xml:space="preserve">2) </w:t>
      </w:r>
      <w:r w:rsidRPr="0082563A">
        <w:rPr>
          <w:i/>
          <w:sz w:val="18"/>
          <w:szCs w:val="18"/>
        </w:rPr>
        <w:t>podle Boultona a kol (2015).</w:t>
      </w:r>
    </w:p>
    <w:p w:rsidR="00DD65A2" w:rsidRDefault="00DD65A2" w:rsidP="00DD65A2">
      <w:pPr>
        <w:spacing w:line="120" w:lineRule="auto"/>
        <w:rPr>
          <w:b/>
        </w:rPr>
      </w:pPr>
    </w:p>
    <w:p w:rsidR="00DD65A2" w:rsidRDefault="00DD65A2" w:rsidP="00DD65A2">
      <w:pPr>
        <w:shd w:val="clear" w:color="auto" w:fill="FFFFFF"/>
        <w:spacing w:before="0"/>
        <w:rPr>
          <w:color w:val="222222"/>
        </w:rPr>
      </w:pPr>
      <w:r w:rsidRPr="00B627D7">
        <w:rPr>
          <w:color w:val="222222"/>
          <w:spacing w:val="-2"/>
        </w:rPr>
        <w:t xml:space="preserve">Cena telat zařazených do odchovu se jako </w:t>
      </w:r>
      <w:r>
        <w:rPr>
          <w:color w:val="222222"/>
          <w:spacing w:val="-2"/>
        </w:rPr>
        <w:t xml:space="preserve">položka </w:t>
      </w:r>
      <w:r w:rsidRPr="00B627D7">
        <w:rPr>
          <w:color w:val="222222"/>
          <w:spacing w:val="-2"/>
        </w:rPr>
        <w:t>nákladů většinou neuvádí. N</w:t>
      </w:r>
      <w:r w:rsidRPr="00B627D7">
        <w:rPr>
          <w:color w:val="222222"/>
        </w:rPr>
        <w:t xml:space="preserve">ěkolik údajů uvedených v literatuře za roky 1999 až 2013 uvádí rozpětí cen telat mezi 2 500 </w:t>
      </w:r>
      <w:r w:rsidRPr="00B627D7">
        <w:rPr>
          <w:color w:val="222222"/>
          <w:spacing w:val="-2"/>
        </w:rPr>
        <w:t>a 12 500 Kč, přičemž většina cen kolísá mezi 3 625 a 5 000 Kč. V případě výjimečného</w:t>
      </w:r>
      <w:r w:rsidRPr="00B627D7">
        <w:rPr>
          <w:color w:val="222222"/>
        </w:rPr>
        <w:t xml:space="preserve"> prodeje a nákupu této nejmladší kategorie </w:t>
      </w:r>
      <w:r>
        <w:rPr>
          <w:color w:val="222222"/>
        </w:rPr>
        <w:t xml:space="preserve">lze cenu stanovit </w:t>
      </w:r>
      <w:r w:rsidRPr="00B627D7">
        <w:rPr>
          <w:color w:val="222222"/>
        </w:rPr>
        <w:t>na základě poptávky a nabídky</w:t>
      </w:r>
      <w:r>
        <w:rPr>
          <w:color w:val="222222"/>
        </w:rPr>
        <w:t xml:space="preserve"> (tab. 7). </w:t>
      </w:r>
      <w:r w:rsidRPr="00B627D7">
        <w:rPr>
          <w:color w:val="222222"/>
        </w:rPr>
        <w:t xml:space="preserve"> </w:t>
      </w:r>
    </w:p>
    <w:p w:rsidR="00DD65A2" w:rsidRDefault="00DD65A2" w:rsidP="00DD65A2">
      <w:pPr>
        <w:shd w:val="clear" w:color="auto" w:fill="FFFFFF"/>
        <w:spacing w:before="0" w:line="120" w:lineRule="auto"/>
        <w:rPr>
          <w:color w:val="222222"/>
        </w:rPr>
      </w:pPr>
    </w:p>
    <w:p w:rsidR="00DD65A2" w:rsidRPr="003204A4" w:rsidRDefault="00DD65A2" w:rsidP="00CD0BE3">
      <w:pPr>
        <w:pStyle w:val="Nadpis3"/>
      </w:pPr>
      <w:r w:rsidRPr="003204A4">
        <w:t xml:space="preserve">Tab. </w:t>
      </w:r>
      <w:r>
        <w:t>7</w:t>
      </w:r>
      <w:r w:rsidRPr="003204A4">
        <w:t xml:space="preserve"> Odhad ceny telat bezprostředně po narození</w:t>
      </w:r>
      <w:r>
        <w:t xml:space="preserve"> (Kč, 1 € = 26,00 Kč)</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2170"/>
        <w:gridCol w:w="618"/>
        <w:gridCol w:w="1851"/>
        <w:gridCol w:w="1853"/>
        <w:gridCol w:w="1851"/>
        <w:gridCol w:w="1851"/>
      </w:tblGrid>
      <w:tr w:rsidR="00DD65A2" w:rsidTr="00825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gridSpan w:val="2"/>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Pr="00696B2F" w:rsidRDefault="00DD65A2" w:rsidP="005476F2">
            <w:pPr>
              <w:autoSpaceDE w:val="0"/>
              <w:autoSpaceDN w:val="0"/>
              <w:adjustRightInd w:val="0"/>
              <w:spacing w:before="40" w:line="264" w:lineRule="auto"/>
              <w:jc w:val="center"/>
              <w:rPr>
                <w:b w:val="0"/>
                <w:spacing w:val="-2"/>
              </w:rPr>
            </w:pPr>
            <w:r w:rsidRPr="00696B2F">
              <w:rPr>
                <w:b w:val="0"/>
                <w:spacing w:val="-2"/>
              </w:rPr>
              <w:t>Ukazatel</w:t>
            </w:r>
          </w:p>
        </w:tc>
        <w:tc>
          <w:tcPr>
            <w:tcW w:w="1817"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5476F2">
            <w:pPr>
              <w:autoSpaceDE w:val="0"/>
              <w:autoSpaceDN w:val="0"/>
              <w:adjustRightInd w:val="0"/>
              <w:spacing w:before="40" w:line="264" w:lineRule="auto"/>
              <w:jc w:val="center"/>
              <w:cnfStyle w:val="100000000000" w:firstRow="1" w:lastRow="0" w:firstColumn="0" w:lastColumn="0" w:oddVBand="0" w:evenVBand="0" w:oddHBand="0" w:evenHBand="0" w:firstRowFirstColumn="0" w:firstRowLastColumn="0" w:lastRowFirstColumn="0" w:lastRowLastColumn="0"/>
              <w:rPr>
                <w:b w:val="0"/>
                <w:spacing w:val="-2"/>
                <w:vertAlign w:val="superscript"/>
              </w:rPr>
            </w:pPr>
            <w:r w:rsidRPr="00852F96">
              <w:rPr>
                <w:b w:val="0"/>
                <w:spacing w:val="-2"/>
              </w:rPr>
              <w:t>plemeno fleckvieh (F)</w:t>
            </w:r>
          </w:p>
        </w:tc>
        <w:tc>
          <w:tcPr>
            <w:tcW w:w="1817"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5476F2">
            <w:pPr>
              <w:autoSpaceDE w:val="0"/>
              <w:autoSpaceDN w:val="0"/>
              <w:adjustRightInd w:val="0"/>
              <w:spacing w:before="40" w:line="264" w:lineRule="auto"/>
              <w:jc w:val="center"/>
              <w:cnfStyle w:val="100000000000" w:firstRow="1" w:lastRow="0" w:firstColumn="0" w:lastColumn="0" w:oddVBand="0" w:evenVBand="0" w:oddHBand="0" w:evenHBand="0" w:firstRowFirstColumn="0" w:firstRowLastColumn="0" w:lastRowFirstColumn="0" w:lastRowLastColumn="0"/>
              <w:rPr>
                <w:b w:val="0"/>
                <w:spacing w:val="-2"/>
                <w:vertAlign w:val="superscript"/>
              </w:rPr>
            </w:pPr>
            <w:r w:rsidRPr="00852F96">
              <w:rPr>
                <w:b w:val="0"/>
                <w:spacing w:val="-2"/>
              </w:rPr>
              <w:t>plemeno holštýnsko-fríské (H)</w:t>
            </w:r>
          </w:p>
        </w:tc>
      </w:tr>
      <w:tr w:rsidR="0082563A" w:rsidTr="00825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gridSpan w:val="2"/>
            <w:vMerge/>
            <w:tcBorders>
              <w:left w:val="none" w:sz="0" w:space="0" w:color="auto"/>
              <w:right w:val="none" w:sz="0" w:space="0" w:color="auto"/>
            </w:tcBorders>
            <w:shd w:val="clear" w:color="auto" w:fill="auto"/>
            <w:vAlign w:val="center"/>
          </w:tcPr>
          <w:p w:rsidR="00DD65A2" w:rsidRPr="00696B2F" w:rsidRDefault="00DD65A2" w:rsidP="005476F2">
            <w:pPr>
              <w:autoSpaceDE w:val="0"/>
              <w:autoSpaceDN w:val="0"/>
              <w:adjustRightInd w:val="0"/>
              <w:spacing w:before="40" w:line="264" w:lineRule="auto"/>
              <w:jc w:val="center"/>
              <w:rPr>
                <w:b w:val="0"/>
                <w:spacing w:val="-2"/>
              </w:rPr>
            </w:pPr>
          </w:p>
        </w:tc>
        <w:tc>
          <w:tcPr>
            <w:tcW w:w="908" w:type="pct"/>
            <w:tcBorders>
              <w:left w:val="none" w:sz="0" w:space="0" w:color="auto"/>
              <w:right w:val="none" w:sz="0" w:space="0" w:color="auto"/>
            </w:tcBorders>
            <w:shd w:val="clear" w:color="auto" w:fill="F2F2F2" w:themeFill="background1" w:themeFillShade="F2"/>
            <w:vAlign w:val="center"/>
          </w:tcPr>
          <w:p w:rsidR="00DD65A2" w:rsidRPr="001D12F5" w:rsidRDefault="00DD65A2" w:rsidP="005476F2">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rPr>
            </w:pPr>
            <w:r w:rsidRPr="001D12F5">
              <w:rPr>
                <w:spacing w:val="-2"/>
              </w:rPr>
              <w:t>býčci</w:t>
            </w:r>
          </w:p>
        </w:tc>
        <w:tc>
          <w:tcPr>
            <w:tcW w:w="909" w:type="pct"/>
            <w:tcBorders>
              <w:left w:val="none" w:sz="0" w:space="0" w:color="auto"/>
              <w:right w:val="none" w:sz="0" w:space="0" w:color="auto"/>
            </w:tcBorders>
            <w:shd w:val="clear" w:color="auto" w:fill="F2F2F2" w:themeFill="background1" w:themeFillShade="F2"/>
            <w:vAlign w:val="center"/>
          </w:tcPr>
          <w:p w:rsidR="00DD65A2" w:rsidRPr="001D12F5" w:rsidRDefault="00DD65A2" w:rsidP="005476F2">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rPr>
            </w:pPr>
            <w:r w:rsidRPr="001D12F5">
              <w:rPr>
                <w:spacing w:val="-2"/>
              </w:rPr>
              <w:t>jalovičky</w:t>
            </w:r>
          </w:p>
        </w:tc>
        <w:tc>
          <w:tcPr>
            <w:tcW w:w="908" w:type="pct"/>
            <w:tcBorders>
              <w:left w:val="none" w:sz="0" w:space="0" w:color="auto"/>
              <w:right w:val="none" w:sz="0" w:space="0" w:color="auto"/>
            </w:tcBorders>
            <w:shd w:val="clear" w:color="auto" w:fill="F2F2F2" w:themeFill="background1" w:themeFillShade="F2"/>
            <w:vAlign w:val="center"/>
          </w:tcPr>
          <w:p w:rsidR="00DD65A2" w:rsidRPr="001D12F5" w:rsidRDefault="00DD65A2" w:rsidP="005476F2">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rPr>
            </w:pPr>
            <w:r w:rsidRPr="001D12F5">
              <w:rPr>
                <w:spacing w:val="-2"/>
              </w:rPr>
              <w:t>býčci</w:t>
            </w:r>
          </w:p>
        </w:tc>
        <w:tc>
          <w:tcPr>
            <w:tcW w:w="909" w:type="pct"/>
            <w:tcBorders>
              <w:left w:val="none" w:sz="0" w:space="0" w:color="auto"/>
              <w:right w:val="none" w:sz="0" w:space="0" w:color="auto"/>
            </w:tcBorders>
            <w:shd w:val="clear" w:color="auto" w:fill="F2F2F2" w:themeFill="background1" w:themeFillShade="F2"/>
            <w:vAlign w:val="center"/>
          </w:tcPr>
          <w:p w:rsidR="00DD65A2" w:rsidRPr="001D12F5" w:rsidRDefault="00DD65A2" w:rsidP="005476F2">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rPr>
                <w:spacing w:val="-2"/>
              </w:rPr>
            </w:pPr>
            <w:r w:rsidRPr="001D12F5">
              <w:rPr>
                <w:spacing w:val="-2"/>
              </w:rPr>
              <w:t>jalovičky</w:t>
            </w:r>
          </w:p>
        </w:tc>
      </w:tr>
      <w:tr w:rsidR="00DD65A2" w:rsidTr="0082563A">
        <w:tc>
          <w:tcPr>
            <w:cnfStyle w:val="001000000000" w:firstRow="0" w:lastRow="0" w:firstColumn="1" w:lastColumn="0" w:oddVBand="0" w:evenVBand="0" w:oddHBand="0" w:evenHBand="0" w:firstRowFirstColumn="0" w:firstRowLastColumn="0" w:lastRowFirstColumn="0" w:lastRowLastColumn="0"/>
            <w:tcW w:w="1367" w:type="pct"/>
            <w:gridSpan w:val="2"/>
            <w:shd w:val="clear" w:color="auto" w:fill="F2F2F2" w:themeFill="background1" w:themeFillShade="F2"/>
          </w:tcPr>
          <w:p w:rsidR="00DD65A2" w:rsidRPr="001D12F5" w:rsidRDefault="00DD65A2" w:rsidP="005476F2">
            <w:pPr>
              <w:autoSpaceDE w:val="0"/>
              <w:autoSpaceDN w:val="0"/>
              <w:adjustRightInd w:val="0"/>
              <w:spacing w:before="40" w:line="264" w:lineRule="auto"/>
              <w:jc w:val="center"/>
              <w:rPr>
                <w:b w:val="0"/>
                <w:spacing w:val="-2"/>
                <w:vertAlign w:val="superscript"/>
              </w:rPr>
            </w:pPr>
            <w:r w:rsidRPr="001D12F5">
              <w:rPr>
                <w:b w:val="0"/>
                <w:spacing w:val="-2"/>
              </w:rPr>
              <w:t>tržní cena</w:t>
            </w:r>
            <w:r w:rsidRPr="001D12F5">
              <w:rPr>
                <w:b w:val="0"/>
                <w:spacing w:val="-2"/>
                <w:vertAlign w:val="superscript"/>
              </w:rPr>
              <w:t>1)</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10 816</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8 008</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4 420</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2 340</w:t>
            </w:r>
          </w:p>
        </w:tc>
      </w:tr>
      <w:tr w:rsidR="00DD65A2" w:rsidTr="00825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pct"/>
            <w:gridSpan w:val="2"/>
            <w:tcBorders>
              <w:left w:val="none" w:sz="0" w:space="0" w:color="auto"/>
              <w:right w:val="none" w:sz="0" w:space="0" w:color="auto"/>
            </w:tcBorders>
            <w:shd w:val="clear" w:color="auto" w:fill="F2F2F2" w:themeFill="background1" w:themeFillShade="F2"/>
          </w:tcPr>
          <w:p w:rsidR="00DD65A2" w:rsidRPr="001D12F5" w:rsidRDefault="00DD65A2" w:rsidP="005476F2">
            <w:pPr>
              <w:autoSpaceDE w:val="0"/>
              <w:autoSpaceDN w:val="0"/>
              <w:adjustRightInd w:val="0"/>
              <w:spacing w:before="40" w:line="264" w:lineRule="auto"/>
              <w:jc w:val="center"/>
              <w:rPr>
                <w:b w:val="0"/>
                <w:spacing w:val="-2"/>
              </w:rPr>
            </w:pPr>
            <w:r w:rsidRPr="001D12F5">
              <w:rPr>
                <w:b w:val="0"/>
                <w:spacing w:val="-2"/>
              </w:rPr>
              <w:t>náklady na krmiva</w:t>
            </w:r>
          </w:p>
        </w:tc>
        <w:tc>
          <w:tcPr>
            <w:tcW w:w="908"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1 300</w:t>
            </w:r>
          </w:p>
        </w:tc>
        <w:tc>
          <w:tcPr>
            <w:tcW w:w="909"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1 300</w:t>
            </w:r>
          </w:p>
        </w:tc>
        <w:tc>
          <w:tcPr>
            <w:tcW w:w="908"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650</w:t>
            </w:r>
          </w:p>
        </w:tc>
        <w:tc>
          <w:tcPr>
            <w:tcW w:w="909"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806</w:t>
            </w:r>
          </w:p>
        </w:tc>
      </w:tr>
      <w:tr w:rsidR="00DD65A2" w:rsidTr="0082563A">
        <w:tc>
          <w:tcPr>
            <w:cnfStyle w:val="001000000000" w:firstRow="0" w:lastRow="0" w:firstColumn="1" w:lastColumn="0" w:oddVBand="0" w:evenVBand="0" w:oddHBand="0" w:evenHBand="0" w:firstRowFirstColumn="0" w:firstRowLastColumn="0" w:lastRowFirstColumn="0" w:lastRowLastColumn="0"/>
            <w:tcW w:w="1367" w:type="pct"/>
            <w:gridSpan w:val="2"/>
            <w:shd w:val="clear" w:color="auto" w:fill="F2F2F2" w:themeFill="background1" w:themeFillShade="F2"/>
          </w:tcPr>
          <w:p w:rsidR="00DD65A2" w:rsidRPr="001D12F5" w:rsidRDefault="00DD65A2" w:rsidP="005476F2">
            <w:pPr>
              <w:autoSpaceDE w:val="0"/>
              <w:autoSpaceDN w:val="0"/>
              <w:adjustRightInd w:val="0"/>
              <w:spacing w:before="40" w:line="264" w:lineRule="auto"/>
              <w:jc w:val="center"/>
              <w:rPr>
                <w:b w:val="0"/>
                <w:spacing w:val="-2"/>
              </w:rPr>
            </w:pPr>
            <w:r w:rsidRPr="001D12F5">
              <w:rPr>
                <w:b w:val="0"/>
                <w:spacing w:val="-2"/>
              </w:rPr>
              <w:t>pracovní náklady</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1 378</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1 378</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702</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858</w:t>
            </w:r>
          </w:p>
        </w:tc>
      </w:tr>
      <w:tr w:rsidR="00DD65A2" w:rsidTr="00825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vMerge w:val="restart"/>
            <w:tcBorders>
              <w:left w:val="none" w:sz="0" w:space="0" w:color="auto"/>
              <w:right w:val="none" w:sz="0" w:space="0" w:color="auto"/>
            </w:tcBorders>
            <w:shd w:val="clear" w:color="auto" w:fill="F2F2F2" w:themeFill="background1" w:themeFillShade="F2"/>
          </w:tcPr>
          <w:p w:rsidR="00DD65A2" w:rsidRPr="001D12F5" w:rsidRDefault="00DD65A2" w:rsidP="005476F2">
            <w:pPr>
              <w:autoSpaceDE w:val="0"/>
              <w:autoSpaceDN w:val="0"/>
              <w:adjustRightInd w:val="0"/>
              <w:spacing w:before="40" w:line="264" w:lineRule="auto"/>
              <w:jc w:val="center"/>
              <w:rPr>
                <w:b w:val="0"/>
                <w:spacing w:val="-2"/>
              </w:rPr>
            </w:pPr>
            <w:r w:rsidRPr="001D12F5">
              <w:rPr>
                <w:b w:val="0"/>
                <w:spacing w:val="-2"/>
              </w:rPr>
              <w:t>rozdíl (cena narozeného telete)</w:t>
            </w:r>
          </w:p>
        </w:tc>
        <w:tc>
          <w:tcPr>
            <w:tcW w:w="303" w:type="pct"/>
            <w:tcBorders>
              <w:left w:val="none" w:sz="0" w:space="0" w:color="auto"/>
              <w:right w:val="none" w:sz="0" w:space="0" w:color="auto"/>
            </w:tcBorders>
            <w:shd w:val="clear" w:color="auto" w:fill="auto"/>
          </w:tcPr>
          <w:p w:rsidR="00DD65A2" w:rsidRPr="005D2E4F" w:rsidRDefault="00DD65A2" w:rsidP="005476F2">
            <w:pPr>
              <w:autoSpaceDE w:val="0"/>
              <w:autoSpaceDN w:val="0"/>
              <w:adjustRightInd w:val="0"/>
              <w:spacing w:before="40" w:line="264" w:lineRule="auto"/>
              <w:cnfStyle w:val="000000100000" w:firstRow="0" w:lastRow="0" w:firstColumn="0" w:lastColumn="0" w:oddVBand="0" w:evenVBand="0" w:oddHBand="1" w:evenHBand="0" w:firstRowFirstColumn="0" w:firstRowLastColumn="0" w:lastRowFirstColumn="0" w:lastRowLastColumn="0"/>
              <w:rPr>
                <w:spacing w:val="-2"/>
              </w:rPr>
            </w:pPr>
            <w:r w:rsidRPr="005D2E4F">
              <w:rPr>
                <w:spacing w:val="-2"/>
              </w:rPr>
              <w:t>Kč</w:t>
            </w:r>
          </w:p>
        </w:tc>
        <w:tc>
          <w:tcPr>
            <w:tcW w:w="908"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8 138</w:t>
            </w:r>
          </w:p>
        </w:tc>
        <w:tc>
          <w:tcPr>
            <w:tcW w:w="909"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5 330</w:t>
            </w:r>
          </w:p>
        </w:tc>
        <w:tc>
          <w:tcPr>
            <w:tcW w:w="908"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3 068</w:t>
            </w:r>
          </w:p>
        </w:tc>
        <w:tc>
          <w:tcPr>
            <w:tcW w:w="909" w:type="pct"/>
            <w:tcBorders>
              <w:left w:val="none" w:sz="0" w:space="0" w:color="auto"/>
              <w:right w:val="none" w:sz="0" w:space="0" w:color="auto"/>
            </w:tcBorders>
            <w:shd w:val="clear" w:color="auto" w:fill="auto"/>
            <w:vAlign w:val="center"/>
          </w:tcPr>
          <w:p w:rsidR="00DD65A2" w:rsidRPr="005D2E4F" w:rsidRDefault="00DD65A2" w:rsidP="005476F2">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5D2E4F">
              <w:rPr>
                <w:color w:val="000000"/>
              </w:rPr>
              <w:t>676</w:t>
            </w:r>
          </w:p>
        </w:tc>
      </w:tr>
      <w:tr w:rsidR="00DD65A2" w:rsidTr="0082563A">
        <w:tc>
          <w:tcPr>
            <w:cnfStyle w:val="001000000000" w:firstRow="0" w:lastRow="0" w:firstColumn="1" w:lastColumn="0" w:oddVBand="0" w:evenVBand="0" w:oddHBand="0" w:evenHBand="0" w:firstRowFirstColumn="0" w:firstRowLastColumn="0" w:lastRowFirstColumn="0" w:lastRowLastColumn="0"/>
            <w:tcW w:w="1064" w:type="pct"/>
            <w:vMerge/>
            <w:shd w:val="clear" w:color="auto" w:fill="F2F2F2" w:themeFill="background1" w:themeFillShade="F2"/>
          </w:tcPr>
          <w:p w:rsidR="00DD65A2" w:rsidRDefault="00DD65A2" w:rsidP="005476F2">
            <w:pPr>
              <w:autoSpaceDE w:val="0"/>
              <w:autoSpaceDN w:val="0"/>
              <w:adjustRightInd w:val="0"/>
              <w:spacing w:before="40" w:line="264" w:lineRule="auto"/>
              <w:rPr>
                <w:spacing w:val="-2"/>
              </w:rPr>
            </w:pPr>
          </w:p>
        </w:tc>
        <w:tc>
          <w:tcPr>
            <w:tcW w:w="303" w:type="pct"/>
            <w:shd w:val="clear" w:color="auto" w:fill="auto"/>
          </w:tcPr>
          <w:p w:rsidR="00DD65A2" w:rsidRPr="005D2E4F" w:rsidRDefault="00DD65A2" w:rsidP="005476F2">
            <w:pPr>
              <w:autoSpaceDE w:val="0"/>
              <w:autoSpaceDN w:val="0"/>
              <w:adjustRightInd w:val="0"/>
              <w:spacing w:before="40" w:line="264" w:lineRule="auto"/>
              <w:cnfStyle w:val="000000000000" w:firstRow="0" w:lastRow="0" w:firstColumn="0" w:lastColumn="0" w:oddVBand="0" w:evenVBand="0" w:oddHBand="0" w:evenHBand="0" w:firstRowFirstColumn="0" w:firstRowLastColumn="0" w:lastRowFirstColumn="0" w:lastRowLastColumn="0"/>
              <w:rPr>
                <w:spacing w:val="-2"/>
              </w:rPr>
            </w:pPr>
            <w:r w:rsidRPr="005D2E4F">
              <w:rPr>
                <w:spacing w:val="-2"/>
              </w:rPr>
              <w:t>%</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100</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6</w:t>
            </w:r>
            <w:r>
              <w:rPr>
                <w:color w:val="000000"/>
              </w:rPr>
              <w:t>6</w:t>
            </w:r>
          </w:p>
        </w:tc>
        <w:tc>
          <w:tcPr>
            <w:tcW w:w="908"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5D2E4F">
              <w:rPr>
                <w:color w:val="000000"/>
              </w:rPr>
              <w:t>3</w:t>
            </w:r>
            <w:r>
              <w:rPr>
                <w:color w:val="000000"/>
              </w:rPr>
              <w:t>8</w:t>
            </w:r>
          </w:p>
        </w:tc>
        <w:tc>
          <w:tcPr>
            <w:tcW w:w="909" w:type="pct"/>
            <w:shd w:val="clear" w:color="auto" w:fill="auto"/>
            <w:vAlign w:val="center"/>
          </w:tcPr>
          <w:p w:rsidR="00DD65A2" w:rsidRPr="005D2E4F" w:rsidRDefault="00DD65A2" w:rsidP="005476F2">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r>
    </w:tbl>
    <w:p w:rsidR="00DD65A2" w:rsidRPr="0082563A" w:rsidRDefault="00DD65A2" w:rsidP="00DD65A2">
      <w:pPr>
        <w:rPr>
          <w:rFonts w:cs="Tahoma"/>
          <w:i/>
          <w:sz w:val="18"/>
          <w:szCs w:val="18"/>
        </w:rPr>
      </w:pPr>
      <w:r w:rsidRPr="0082563A">
        <w:rPr>
          <w:rFonts w:cs="Tahoma"/>
          <w:i/>
          <w:sz w:val="18"/>
          <w:szCs w:val="18"/>
        </w:rPr>
        <w:t>Pramen: Brändle (2006).</w:t>
      </w:r>
    </w:p>
    <w:p w:rsidR="00DD65A2" w:rsidRPr="0082563A" w:rsidRDefault="00DD65A2" w:rsidP="0082563A">
      <w:pPr>
        <w:spacing w:before="0"/>
        <w:rPr>
          <w:i/>
          <w:sz w:val="18"/>
          <w:szCs w:val="18"/>
        </w:rPr>
      </w:pPr>
      <w:r w:rsidRPr="0082563A">
        <w:rPr>
          <w:i/>
          <w:sz w:val="18"/>
          <w:szCs w:val="18"/>
        </w:rPr>
        <w:t xml:space="preserve">1) plemeno F: ♂ 80 kg, 127 Kč/kg, ♀ 80 kg, 100 Kč/kg; plemeno H: ♂ a ♀ 60 kg, ceny při prodeji ze dvora. </w:t>
      </w:r>
    </w:p>
    <w:p w:rsidR="00DD65A2" w:rsidRPr="00B627D7" w:rsidRDefault="00DD65A2" w:rsidP="00DD65A2">
      <w:pPr>
        <w:shd w:val="clear" w:color="auto" w:fill="FFFFFF"/>
        <w:spacing w:before="0"/>
        <w:rPr>
          <w:color w:val="222222"/>
        </w:rPr>
      </w:pPr>
    </w:p>
    <w:p w:rsidR="00DD65A2" w:rsidRDefault="00DD65A2" w:rsidP="00DD65A2">
      <w:pPr>
        <w:spacing w:line="120" w:lineRule="auto"/>
        <w:rPr>
          <w:b/>
        </w:rPr>
      </w:pPr>
    </w:p>
    <w:p w:rsidR="00DD65A2" w:rsidRPr="00BC4E5B" w:rsidRDefault="00DD65A2" w:rsidP="006915BC">
      <w:pPr>
        <w:pStyle w:val="Nadpis2"/>
        <w:spacing w:before="0"/>
      </w:pPr>
      <w:bookmarkStart w:id="48" w:name="_Toc497823126"/>
      <w:bookmarkStart w:id="49" w:name="_Toc497823605"/>
      <w:bookmarkStart w:id="50" w:name="_Toc497823700"/>
      <w:bookmarkStart w:id="51" w:name="_Toc497884738"/>
      <w:r w:rsidRPr="00BC4E5B">
        <w:lastRenderedPageBreak/>
        <w:t>Produkční nemoci telat</w:t>
      </w:r>
      <w:bookmarkEnd w:id="48"/>
      <w:bookmarkEnd w:id="49"/>
      <w:bookmarkEnd w:id="50"/>
      <w:bookmarkEnd w:id="51"/>
    </w:p>
    <w:p w:rsidR="00DD65A2" w:rsidRPr="00BC4E5B" w:rsidRDefault="00DD65A2" w:rsidP="00DD65A2">
      <w:pPr>
        <w:autoSpaceDE w:val="0"/>
        <w:autoSpaceDN w:val="0"/>
        <w:adjustRightInd w:val="0"/>
      </w:pPr>
      <w:r w:rsidRPr="00BC4E5B">
        <w:rPr>
          <w:spacing w:val="-2"/>
        </w:rPr>
        <w:t>Za „produkční“ se považují choroby související s chovem, výživou, užitkovostí a</w:t>
      </w:r>
      <w:r w:rsidRPr="00BC4E5B">
        <w:t xml:space="preserve"> šlechtěním hospodářských zvířat a </w:t>
      </w:r>
      <w:r w:rsidRPr="00BC4E5B">
        <w:rPr>
          <w:spacing w:val="-4"/>
        </w:rPr>
        <w:t xml:space="preserve">managementem jejich chovu, resp. s vazbou na biologická, technologická a ekonomická </w:t>
      </w:r>
      <w:r w:rsidRPr="00BC4E5B">
        <w:rPr>
          <w:spacing w:val="-2"/>
        </w:rPr>
        <w:t xml:space="preserve">hlediska výrobních </w:t>
      </w:r>
      <w:r w:rsidRPr="00BC4E5B">
        <w:rPr>
          <w:spacing w:val="-4"/>
        </w:rPr>
        <w:t xml:space="preserve">postupů. </w:t>
      </w:r>
      <w:r w:rsidRPr="00BC4E5B">
        <w:t xml:space="preserve"> Z této definice a z praktických zkušeností vyplývá, že se </w:t>
      </w:r>
      <w:r w:rsidRPr="00BC4E5B">
        <w:rPr>
          <w:spacing w:val="-2"/>
        </w:rPr>
        <w:t>u všech druhů a kategorií zvířat jedná o řadu nemocí s rozdílným</w:t>
      </w:r>
      <w:r w:rsidRPr="00BC4E5B">
        <w:t xml:space="preserve"> ekonomickým dopadem na výsledky chovu. Toto konstatování platí i pro odchov telat. </w:t>
      </w:r>
    </w:p>
    <w:p w:rsidR="00DD65A2" w:rsidRPr="00BC4E5B" w:rsidRDefault="00DD65A2" w:rsidP="006915BC">
      <w:pPr>
        <w:spacing w:before="80"/>
      </w:pPr>
      <w:r w:rsidRPr="00BC4E5B">
        <w:rPr>
          <w:spacing w:val="-2"/>
        </w:rPr>
        <w:t xml:space="preserve">Každá ztráta a (nejen) produkční nemoc telat má za následek přímé a </w:t>
      </w:r>
      <w:r w:rsidRPr="00BC4E5B">
        <w:t>nepřímé ekonomické ztráty. Při úhynu a nutné porážce se jedná o ztráty zahrnující cenu telete, případné</w:t>
      </w:r>
      <w:r w:rsidRPr="00BC4E5B">
        <w:rPr>
          <w:spacing w:val="-2"/>
        </w:rPr>
        <w:t xml:space="preserve"> náklady na léčení a odchov, nižší tržby za prodaná telata, vyšší náklady na obměnu stáda aj. Onemocnění telat</w:t>
      </w:r>
      <w:r w:rsidRPr="00BC4E5B">
        <w:t xml:space="preserve"> obvykle zvyšuje náklady </w:t>
      </w:r>
      <w:r w:rsidRPr="00BC4E5B">
        <w:rPr>
          <w:spacing w:val="-2"/>
        </w:rPr>
        <w:t xml:space="preserve">na léčení, léky a delší odchov. Ztráty nepřímé představují snížení zisku, </w:t>
      </w:r>
      <w:r>
        <w:rPr>
          <w:spacing w:val="-2"/>
        </w:rPr>
        <w:t xml:space="preserve">jehož dosažení bylo reálné </w:t>
      </w:r>
      <w:r w:rsidRPr="00BC4E5B">
        <w:rPr>
          <w:spacing w:val="-2"/>
        </w:rPr>
        <w:t>při chovu zdravých telat (</w:t>
      </w:r>
      <w:r>
        <w:rPr>
          <w:spacing w:val="-2"/>
        </w:rPr>
        <w:t xml:space="preserve">budoucí </w:t>
      </w:r>
      <w:r w:rsidRPr="00BC4E5B">
        <w:rPr>
          <w:spacing w:val="-2"/>
        </w:rPr>
        <w:t>nižší celoživotní</w:t>
      </w:r>
      <w:r w:rsidRPr="00BC4E5B">
        <w:t xml:space="preserve"> </w:t>
      </w:r>
      <w:r w:rsidRPr="00DE326F">
        <w:rPr>
          <w:spacing w:val="-2"/>
        </w:rPr>
        <w:t>užitkovost, horší plodnost, větší náchylnost ke zdravotním poruchám zdravotního stavu</w:t>
      </w:r>
      <w:r w:rsidRPr="00BC4E5B">
        <w:t xml:space="preserve"> apod.).</w:t>
      </w:r>
    </w:p>
    <w:p w:rsidR="00DD65A2" w:rsidRDefault="00DD65A2" w:rsidP="006915BC">
      <w:pPr>
        <w:autoSpaceDE w:val="0"/>
        <w:autoSpaceDN w:val="0"/>
        <w:adjustRightInd w:val="0"/>
        <w:spacing w:before="80"/>
      </w:pPr>
      <w:r>
        <w:t xml:space="preserve">Dvěma nejčastějšími a „nejdražšími“ </w:t>
      </w:r>
      <w:r w:rsidRPr="004B28E7">
        <w:t xml:space="preserve">produkčními nemocemi telat jsou </w:t>
      </w:r>
      <w:r w:rsidRPr="00AE464D">
        <w:rPr>
          <w:spacing w:val="-2"/>
        </w:rPr>
        <w:t xml:space="preserve">průjmy a nemoci dýchacích cest. Odhad jejich výskytu </w:t>
      </w:r>
      <w:r>
        <w:rPr>
          <w:spacing w:val="-2"/>
        </w:rPr>
        <w:t>(</w:t>
      </w:r>
      <w:r w:rsidRPr="00AE464D">
        <w:rPr>
          <w:spacing w:val="-2"/>
        </w:rPr>
        <w:t>tab. 8</w:t>
      </w:r>
      <w:r>
        <w:rPr>
          <w:spacing w:val="-2"/>
        </w:rPr>
        <w:t>)</w:t>
      </w:r>
      <w:r w:rsidRPr="00AE464D">
        <w:rPr>
          <w:spacing w:val="-2"/>
        </w:rPr>
        <w:t xml:space="preserve"> vychází ze 14 </w:t>
      </w:r>
      <w:r>
        <w:rPr>
          <w:spacing w:val="-2"/>
        </w:rPr>
        <w:t xml:space="preserve">značně variabilních </w:t>
      </w:r>
      <w:r>
        <w:t xml:space="preserve">údajů (ztráty, nutné porážky, počet ošetření, vyřazení aj.) vykázaných deseti zahraničními autory. </w:t>
      </w:r>
    </w:p>
    <w:p w:rsidR="00DD65A2" w:rsidRDefault="00DD65A2" w:rsidP="006915BC">
      <w:pPr>
        <w:autoSpaceDE w:val="0"/>
        <w:autoSpaceDN w:val="0"/>
        <w:adjustRightInd w:val="0"/>
        <w:spacing w:before="80"/>
      </w:pPr>
      <w:r>
        <w:t xml:space="preserve">Podle švýcarské veterinární služby </w:t>
      </w:r>
      <w:r w:rsidRPr="005134C1">
        <w:rPr>
          <w:i/>
          <w:spacing w:val="-2"/>
        </w:rPr>
        <w:t xml:space="preserve">Agridea (2016) </w:t>
      </w:r>
      <w:r>
        <w:rPr>
          <w:spacing w:val="-2"/>
        </w:rPr>
        <w:t xml:space="preserve">by </w:t>
      </w:r>
      <w:r w:rsidRPr="00754A9C">
        <w:rPr>
          <w:spacing w:val="-2"/>
        </w:rPr>
        <w:t>podíl</w:t>
      </w:r>
      <w:r>
        <w:rPr>
          <w:spacing w:val="-2"/>
        </w:rPr>
        <w:t>y</w:t>
      </w:r>
      <w:r w:rsidRPr="00754A9C">
        <w:rPr>
          <w:spacing w:val="-2"/>
        </w:rPr>
        <w:t xml:space="preserve"> telat s klinickým průjmem</w:t>
      </w:r>
      <w:r>
        <w:rPr>
          <w:spacing w:val="-2"/>
        </w:rPr>
        <w:t xml:space="preserve">, resp. s respiračním onemocněním, měly být nižší jak </w:t>
      </w:r>
      <w:r w:rsidRPr="00754A9C">
        <w:rPr>
          <w:spacing w:val="-2"/>
        </w:rPr>
        <w:t>20</w:t>
      </w:r>
      <w:r>
        <w:rPr>
          <w:spacing w:val="-2"/>
        </w:rPr>
        <w:t xml:space="preserve">, resp. </w:t>
      </w:r>
      <w:r w:rsidRPr="00754A9C">
        <w:rPr>
          <w:spacing w:val="-2"/>
        </w:rPr>
        <w:t>6 %</w:t>
      </w:r>
      <w:r>
        <w:rPr>
          <w:spacing w:val="-2"/>
        </w:rPr>
        <w:t>, podle názoru</w:t>
      </w:r>
      <w:r>
        <w:t xml:space="preserve"> </w:t>
      </w:r>
      <w:r>
        <w:rPr>
          <w:i/>
        </w:rPr>
        <w:t>Harms (2016)</w:t>
      </w:r>
      <w:r>
        <w:t xml:space="preserve"> by stejné choroby neměly do 6. měsíce věku telat překročit 9 a 5 %. </w:t>
      </w:r>
      <w:r w:rsidRPr="001B07DD">
        <w:t xml:space="preserve">    </w:t>
      </w:r>
    </w:p>
    <w:p w:rsidR="00DD65A2" w:rsidRDefault="00DD65A2" w:rsidP="00DD65A2">
      <w:pPr>
        <w:autoSpaceDE w:val="0"/>
        <w:autoSpaceDN w:val="0"/>
        <w:adjustRightInd w:val="0"/>
        <w:spacing w:line="120" w:lineRule="auto"/>
      </w:pPr>
    </w:p>
    <w:p w:rsidR="00DD65A2" w:rsidRPr="002350F7" w:rsidRDefault="00DD65A2" w:rsidP="00CD0BE3">
      <w:pPr>
        <w:pStyle w:val="Nadpis3"/>
      </w:pPr>
      <w:r w:rsidRPr="00826F0C">
        <w:t>Tab. 8 Odhad výskytu hlavních produkčních nemocí telat</w:t>
      </w:r>
      <w:r>
        <w:t xml:space="preserve"> (%)</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845"/>
        <w:gridCol w:w="2783"/>
        <w:gridCol w:w="2783"/>
        <w:gridCol w:w="2783"/>
      </w:tblGrid>
      <w:tr w:rsidR="00DD65A2"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Pr="00826F0C" w:rsidRDefault="00DD65A2" w:rsidP="006915BC">
            <w:pPr>
              <w:autoSpaceDE w:val="0"/>
              <w:autoSpaceDN w:val="0"/>
              <w:adjustRightInd w:val="0"/>
              <w:spacing w:before="40" w:line="240" w:lineRule="auto"/>
              <w:jc w:val="center"/>
              <w:rPr>
                <w:b w:val="0"/>
              </w:rPr>
            </w:pPr>
            <w:r w:rsidRPr="00826F0C">
              <w:rPr>
                <w:b w:val="0"/>
              </w:rPr>
              <w:t>Ukazatel</w:t>
            </w:r>
          </w:p>
        </w:tc>
        <w:tc>
          <w:tcPr>
            <w:tcW w:w="4095"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26F0C" w:rsidRDefault="00DD65A2" w:rsidP="006915BC">
            <w:pPr>
              <w:autoSpaceDE w:val="0"/>
              <w:autoSpaceDN w:val="0"/>
              <w:adjustRightInd w:val="0"/>
              <w:spacing w:before="4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26F0C">
              <w:rPr>
                <w:b w:val="0"/>
              </w:rPr>
              <w:t>onemocnění telat (%)</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pct"/>
            <w:vMerge/>
            <w:tcBorders>
              <w:left w:val="none" w:sz="0" w:space="0" w:color="auto"/>
              <w:right w:val="none" w:sz="0" w:space="0" w:color="auto"/>
            </w:tcBorders>
            <w:shd w:val="clear" w:color="auto" w:fill="auto"/>
          </w:tcPr>
          <w:p w:rsidR="00DD65A2" w:rsidRDefault="00DD65A2" w:rsidP="006915BC">
            <w:pPr>
              <w:autoSpaceDE w:val="0"/>
              <w:autoSpaceDN w:val="0"/>
              <w:adjustRightInd w:val="0"/>
              <w:spacing w:before="40" w:line="240" w:lineRule="auto"/>
            </w:pPr>
          </w:p>
        </w:tc>
        <w:tc>
          <w:tcPr>
            <w:tcW w:w="1365" w:type="pct"/>
            <w:tcBorders>
              <w:left w:val="none" w:sz="0" w:space="0" w:color="auto"/>
              <w:right w:val="none" w:sz="0" w:space="0" w:color="auto"/>
            </w:tcBorders>
            <w:shd w:val="clear" w:color="auto" w:fill="F2F2F2" w:themeFill="background1" w:themeFillShade="F2"/>
          </w:tcPr>
          <w:p w:rsidR="00DD65A2" w:rsidRPr="00852F96"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pPr>
            <w:r w:rsidRPr="00852F96">
              <w:t>průjmová</w:t>
            </w:r>
          </w:p>
        </w:tc>
        <w:tc>
          <w:tcPr>
            <w:tcW w:w="1365" w:type="pct"/>
            <w:tcBorders>
              <w:left w:val="none" w:sz="0" w:space="0" w:color="auto"/>
              <w:right w:val="none" w:sz="0" w:space="0" w:color="auto"/>
            </w:tcBorders>
            <w:shd w:val="clear" w:color="auto" w:fill="F2F2F2" w:themeFill="background1" w:themeFillShade="F2"/>
          </w:tcPr>
          <w:p w:rsidR="00DD65A2" w:rsidRPr="00852F96"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852F96">
              <w:t>pneumonie</w:t>
            </w:r>
            <w:r w:rsidRPr="00852F96">
              <w:rPr>
                <w:vertAlign w:val="superscript"/>
              </w:rPr>
              <w:t>1)</w:t>
            </w:r>
          </w:p>
        </w:tc>
        <w:tc>
          <w:tcPr>
            <w:tcW w:w="1365" w:type="pct"/>
            <w:tcBorders>
              <w:left w:val="none" w:sz="0" w:space="0" w:color="auto"/>
              <w:right w:val="none" w:sz="0" w:space="0" w:color="auto"/>
            </w:tcBorders>
            <w:shd w:val="clear" w:color="auto" w:fill="F2F2F2" w:themeFill="background1" w:themeFillShade="F2"/>
          </w:tcPr>
          <w:p w:rsidR="00DD65A2" w:rsidRPr="00852F96"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852F96">
              <w:t>ostatní</w:t>
            </w:r>
            <w:r w:rsidRPr="00852F96">
              <w:rPr>
                <w:vertAlign w:val="superscript"/>
              </w:rPr>
              <w:t>2)</w:t>
            </w:r>
          </w:p>
        </w:tc>
      </w:tr>
      <w:tr w:rsidR="00DD65A2" w:rsidTr="001D12F5">
        <w:tc>
          <w:tcPr>
            <w:cnfStyle w:val="001000000000" w:firstRow="0" w:lastRow="0" w:firstColumn="1" w:lastColumn="0" w:oddVBand="0" w:evenVBand="0" w:oddHBand="0" w:evenHBand="0" w:firstRowFirstColumn="0" w:firstRowLastColumn="0" w:lastRowFirstColumn="0" w:lastRowLastColumn="0"/>
            <w:tcW w:w="905" w:type="pct"/>
            <w:shd w:val="clear" w:color="auto" w:fill="F2F2F2" w:themeFill="background1" w:themeFillShade="F2"/>
            <w:vAlign w:val="center"/>
          </w:tcPr>
          <w:p w:rsidR="00DD65A2" w:rsidRPr="001D12F5" w:rsidRDefault="00DD65A2" w:rsidP="006915BC">
            <w:pPr>
              <w:autoSpaceDE w:val="0"/>
              <w:autoSpaceDN w:val="0"/>
              <w:adjustRightInd w:val="0"/>
              <w:spacing w:before="40" w:line="240" w:lineRule="auto"/>
              <w:jc w:val="center"/>
              <w:rPr>
                <w:b w:val="0"/>
              </w:rPr>
            </w:pPr>
            <w:r w:rsidRPr="001D12F5">
              <w:rPr>
                <w:b w:val="0"/>
              </w:rPr>
              <w:t>průměr</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36</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30</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34</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pct"/>
            <w:tcBorders>
              <w:left w:val="none" w:sz="0" w:space="0" w:color="auto"/>
              <w:right w:val="none" w:sz="0" w:space="0" w:color="auto"/>
            </w:tcBorders>
            <w:shd w:val="clear" w:color="auto" w:fill="F2F2F2" w:themeFill="background1" w:themeFillShade="F2"/>
            <w:vAlign w:val="center"/>
          </w:tcPr>
          <w:p w:rsidR="00DD65A2" w:rsidRPr="001D12F5" w:rsidRDefault="00DD65A2" w:rsidP="006915BC">
            <w:pPr>
              <w:autoSpaceDE w:val="0"/>
              <w:autoSpaceDN w:val="0"/>
              <w:adjustRightInd w:val="0"/>
              <w:spacing w:before="40" w:line="240" w:lineRule="auto"/>
              <w:jc w:val="center"/>
              <w:rPr>
                <w:b w:val="0"/>
              </w:rPr>
            </w:pPr>
            <w:r w:rsidRPr="001D12F5">
              <w:rPr>
                <w:b w:val="0"/>
              </w:rPr>
              <w:t>minimum</w:t>
            </w:r>
          </w:p>
        </w:tc>
        <w:tc>
          <w:tcPr>
            <w:tcW w:w="1365" w:type="pct"/>
            <w:tcBorders>
              <w:left w:val="none" w:sz="0" w:space="0" w:color="auto"/>
              <w:right w:val="none" w:sz="0" w:space="0" w:color="auto"/>
            </w:tcBorders>
            <w:shd w:val="clear" w:color="auto" w:fill="auto"/>
            <w:vAlign w:val="center"/>
          </w:tcPr>
          <w:p w:rsidR="00DD65A2" w:rsidRDefault="00DD65A2" w:rsidP="006915BC">
            <w:pPr>
              <w:autoSpaceDE w:val="0"/>
              <w:autoSpaceDN w:val="0"/>
              <w:adjustRightInd w:val="0"/>
              <w:spacing w:before="40" w:line="240" w:lineRule="auto"/>
              <w:jc w:val="center"/>
              <w:cnfStyle w:val="000000100000" w:firstRow="0" w:lastRow="0" w:firstColumn="0" w:lastColumn="0" w:oddVBand="0" w:evenVBand="0" w:oddHBand="1" w:evenHBand="0" w:firstRowFirstColumn="0" w:firstRowLastColumn="0" w:lastRowFirstColumn="0" w:lastRowLastColumn="0"/>
            </w:pPr>
            <w:r>
              <w:t>9 (nutné porážky)</w:t>
            </w:r>
          </w:p>
        </w:tc>
        <w:tc>
          <w:tcPr>
            <w:tcW w:w="1365" w:type="pct"/>
            <w:tcBorders>
              <w:left w:val="none" w:sz="0" w:space="0" w:color="auto"/>
              <w:right w:val="none" w:sz="0" w:space="0" w:color="auto"/>
            </w:tcBorders>
            <w:shd w:val="clear" w:color="auto" w:fill="auto"/>
            <w:vAlign w:val="center"/>
          </w:tcPr>
          <w:p w:rsidR="00DD65A2" w:rsidRDefault="00DD65A2" w:rsidP="006915BC">
            <w:pPr>
              <w:autoSpaceDE w:val="0"/>
              <w:autoSpaceDN w:val="0"/>
              <w:adjustRightInd w:val="0"/>
              <w:spacing w:before="40" w:line="240" w:lineRule="auto"/>
              <w:jc w:val="center"/>
              <w:cnfStyle w:val="000000100000" w:firstRow="0" w:lastRow="0" w:firstColumn="0" w:lastColumn="0" w:oddVBand="0" w:evenVBand="0" w:oddHBand="1" w:evenHBand="0" w:firstRowFirstColumn="0" w:firstRowLastColumn="0" w:lastRowFirstColumn="0" w:lastRowLastColumn="0"/>
            </w:pPr>
            <w:r>
              <w:t>11 (ztráty 1 až 15 dnů)</w:t>
            </w:r>
          </w:p>
        </w:tc>
        <w:tc>
          <w:tcPr>
            <w:tcW w:w="1365" w:type="pct"/>
            <w:tcBorders>
              <w:left w:val="none" w:sz="0" w:space="0" w:color="auto"/>
              <w:right w:val="none" w:sz="0" w:space="0" w:color="auto"/>
            </w:tcBorders>
            <w:shd w:val="clear" w:color="auto" w:fill="auto"/>
            <w:vAlign w:val="center"/>
          </w:tcPr>
          <w:p w:rsidR="00DD65A2" w:rsidRDefault="00DD65A2" w:rsidP="006915BC">
            <w:pPr>
              <w:autoSpaceDE w:val="0"/>
              <w:autoSpaceDN w:val="0"/>
              <w:adjustRightInd w:val="0"/>
              <w:spacing w:before="40" w:line="240" w:lineRule="auto"/>
              <w:jc w:val="center"/>
              <w:cnfStyle w:val="000000100000" w:firstRow="0" w:lastRow="0" w:firstColumn="0" w:lastColumn="0" w:oddVBand="0" w:evenVBand="0" w:oddHBand="1" w:evenHBand="0" w:firstRowFirstColumn="0" w:firstRowLastColumn="0" w:lastRowFirstColumn="0" w:lastRowLastColumn="0"/>
            </w:pPr>
            <w:r>
              <w:t>15 (počet ošetření)</w:t>
            </w:r>
          </w:p>
        </w:tc>
      </w:tr>
      <w:tr w:rsidR="00DD65A2" w:rsidTr="001D12F5">
        <w:tc>
          <w:tcPr>
            <w:cnfStyle w:val="001000000000" w:firstRow="0" w:lastRow="0" w:firstColumn="1" w:lastColumn="0" w:oddVBand="0" w:evenVBand="0" w:oddHBand="0" w:evenHBand="0" w:firstRowFirstColumn="0" w:firstRowLastColumn="0" w:lastRowFirstColumn="0" w:lastRowLastColumn="0"/>
            <w:tcW w:w="905" w:type="pct"/>
            <w:shd w:val="clear" w:color="auto" w:fill="F2F2F2" w:themeFill="background1" w:themeFillShade="F2"/>
            <w:vAlign w:val="center"/>
          </w:tcPr>
          <w:p w:rsidR="00DD65A2" w:rsidRPr="001D12F5" w:rsidRDefault="00DD65A2" w:rsidP="006915BC">
            <w:pPr>
              <w:autoSpaceDE w:val="0"/>
              <w:autoSpaceDN w:val="0"/>
              <w:adjustRightInd w:val="0"/>
              <w:spacing w:before="40" w:line="240" w:lineRule="auto"/>
              <w:jc w:val="center"/>
              <w:rPr>
                <w:b w:val="0"/>
              </w:rPr>
            </w:pPr>
            <w:r w:rsidRPr="001D12F5">
              <w:rPr>
                <w:b w:val="0"/>
              </w:rPr>
              <w:t>maximum</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nad 50 (úhyny)</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47 (nutné porážky)</w:t>
            </w:r>
          </w:p>
        </w:tc>
        <w:tc>
          <w:tcPr>
            <w:tcW w:w="1365" w:type="pct"/>
            <w:shd w:val="clear" w:color="auto" w:fill="auto"/>
            <w:vAlign w:val="center"/>
          </w:tcPr>
          <w:p w:rsidR="00DD65A2" w:rsidRDefault="00DD65A2" w:rsidP="006915BC">
            <w:pPr>
              <w:autoSpaceDE w:val="0"/>
              <w:autoSpaceDN w:val="0"/>
              <w:adjustRightInd w:val="0"/>
              <w:spacing w:before="40" w:line="240" w:lineRule="auto"/>
              <w:jc w:val="center"/>
              <w:cnfStyle w:val="000000000000" w:firstRow="0" w:lastRow="0" w:firstColumn="0" w:lastColumn="0" w:oddVBand="0" w:evenVBand="0" w:oddHBand="0" w:evenHBand="0" w:firstRowFirstColumn="0" w:firstRowLastColumn="0" w:lastRowFirstColumn="0" w:lastRowLastColumn="0"/>
            </w:pPr>
            <w:r>
              <w:t>45 (úhyny)</w:t>
            </w:r>
          </w:p>
        </w:tc>
      </w:tr>
    </w:tbl>
    <w:p w:rsidR="00DD65A2" w:rsidRPr="0082563A" w:rsidRDefault="00DD65A2" w:rsidP="006915BC">
      <w:pPr>
        <w:spacing w:before="40" w:line="240" w:lineRule="auto"/>
        <w:rPr>
          <w:i/>
          <w:sz w:val="18"/>
          <w:szCs w:val="18"/>
        </w:rPr>
      </w:pPr>
      <w:r w:rsidRPr="0082563A">
        <w:rPr>
          <w:i/>
          <w:sz w:val="18"/>
          <w:szCs w:val="18"/>
        </w:rPr>
        <w:t>1) onemocnění plic;</w:t>
      </w:r>
    </w:p>
    <w:p w:rsidR="00DD65A2" w:rsidRPr="0082563A" w:rsidRDefault="00DD65A2" w:rsidP="006915BC">
      <w:pPr>
        <w:spacing w:before="0" w:line="240" w:lineRule="auto"/>
        <w:rPr>
          <w:i/>
          <w:sz w:val="18"/>
          <w:szCs w:val="18"/>
        </w:rPr>
      </w:pPr>
      <w:r w:rsidRPr="0082563A">
        <w:rPr>
          <w:i/>
          <w:sz w:val="18"/>
          <w:szCs w:val="18"/>
        </w:rPr>
        <w:t>2) poruchy končetin, acidóza, otravy aj.</w:t>
      </w:r>
    </w:p>
    <w:p w:rsidR="00DD65A2" w:rsidRDefault="00DD65A2" w:rsidP="00DD65A2">
      <w:pPr>
        <w:autoSpaceDE w:val="0"/>
        <w:autoSpaceDN w:val="0"/>
        <w:adjustRightInd w:val="0"/>
        <w:spacing w:line="120" w:lineRule="auto"/>
      </w:pPr>
    </w:p>
    <w:p w:rsidR="00DD65A2" w:rsidRPr="00255F3A" w:rsidRDefault="00DD65A2" w:rsidP="006915BC">
      <w:pPr>
        <w:pStyle w:val="Nadpis2"/>
      </w:pPr>
      <w:bookmarkStart w:id="52" w:name="_Toc497823127"/>
      <w:bookmarkStart w:id="53" w:name="_Toc497823606"/>
      <w:bookmarkStart w:id="54" w:name="_Toc497823701"/>
      <w:bookmarkStart w:id="55" w:name="_Toc497884739"/>
      <w:r>
        <w:t>Přímé ztráty (na tele) způsobené p</w:t>
      </w:r>
      <w:r w:rsidRPr="00255F3A">
        <w:t>růjm</w:t>
      </w:r>
      <w:r>
        <w:t>y a onemocněním dýchacích cest telat</w:t>
      </w:r>
      <w:bookmarkEnd w:id="52"/>
      <w:bookmarkEnd w:id="53"/>
      <w:bookmarkEnd w:id="54"/>
      <w:bookmarkEnd w:id="55"/>
    </w:p>
    <w:p w:rsidR="00DD65A2" w:rsidRPr="00F6383C" w:rsidRDefault="00DD65A2" w:rsidP="006915BC">
      <w:pPr>
        <w:spacing w:before="60"/>
        <w:rPr>
          <w:b/>
        </w:rPr>
      </w:pPr>
      <w:r w:rsidRPr="00CD779F">
        <w:rPr>
          <w:spacing w:val="-2"/>
        </w:rPr>
        <w:t xml:space="preserve">Z údajů </w:t>
      </w:r>
      <w:r w:rsidRPr="00CD779F">
        <w:rPr>
          <w:i/>
          <w:spacing w:val="-2"/>
        </w:rPr>
        <w:t>Lührmanna (2009)</w:t>
      </w:r>
      <w:r w:rsidRPr="00CD779F">
        <w:rPr>
          <w:spacing w:val="-2"/>
        </w:rPr>
        <w:t xml:space="preserve"> lze přímé ztráty vyvolané těžkým a lehkým průjmem</w:t>
      </w:r>
      <w:r>
        <w:t xml:space="preserve"> odhadnout na 6 840 a 2 810 Kč na tele (tab. 9). Tvoří je </w:t>
      </w:r>
      <w:r w:rsidRPr="000F1DBB">
        <w:rPr>
          <w:bCs/>
          <w:spacing w:val="-4"/>
        </w:rPr>
        <w:t>následující</w:t>
      </w:r>
      <w:r>
        <w:rPr>
          <w:bCs/>
        </w:rPr>
        <w:t xml:space="preserve"> čtyři položky: veterinární výkony, resp. </w:t>
      </w:r>
      <w:r w:rsidRPr="001B07DD">
        <w:rPr>
          <w:bCs/>
          <w:spacing w:val="-2"/>
        </w:rPr>
        <w:t>práce veterináře a léky (56</w:t>
      </w:r>
      <w:r>
        <w:rPr>
          <w:bCs/>
          <w:spacing w:val="-2"/>
        </w:rPr>
        <w:t xml:space="preserve"> a 69</w:t>
      </w:r>
      <w:r w:rsidRPr="001B07DD">
        <w:rPr>
          <w:bCs/>
          <w:spacing w:val="-2"/>
        </w:rPr>
        <w:t xml:space="preserve"> %), </w:t>
      </w:r>
      <w:r>
        <w:rPr>
          <w:bCs/>
        </w:rPr>
        <w:t xml:space="preserve">vyšší náklady na odchov (12 a 13 %), úhyny a nutné </w:t>
      </w:r>
      <w:r w:rsidRPr="00A265CE">
        <w:rPr>
          <w:bCs/>
          <w:spacing w:val="-2"/>
        </w:rPr>
        <w:t xml:space="preserve">porážky telat (18 a 7 %) a vyšší </w:t>
      </w:r>
      <w:r>
        <w:rPr>
          <w:bCs/>
          <w:spacing w:val="-2"/>
        </w:rPr>
        <w:t>spotřeba práce</w:t>
      </w:r>
      <w:r w:rsidRPr="00A265CE">
        <w:rPr>
          <w:bCs/>
          <w:spacing w:val="-2"/>
        </w:rPr>
        <w:t xml:space="preserve"> (14 a 11 %). Ztráty vyvolané </w:t>
      </w:r>
      <w:r>
        <w:rPr>
          <w:bCs/>
          <w:spacing w:val="-2"/>
        </w:rPr>
        <w:t xml:space="preserve">stejnou nemocí uvádí </w:t>
      </w:r>
      <w:r>
        <w:rPr>
          <w:bCs/>
          <w:i/>
        </w:rPr>
        <w:t xml:space="preserve">Byron (1997) </w:t>
      </w:r>
      <w:r>
        <w:rPr>
          <w:bCs/>
        </w:rPr>
        <w:t xml:space="preserve">3 500 Kč na každé nemocné a 1 050 Kč na každé tele, </w:t>
      </w:r>
      <w:hyperlink r:id="rId41" w:tgtFrame="_blank" w:history="1">
        <w:r w:rsidRPr="00C90B3E">
          <w:rPr>
            <w:i/>
          </w:rPr>
          <w:t>Brockmann</w:t>
        </w:r>
        <w:r w:rsidRPr="00C90B3E">
          <w:rPr>
            <w:b/>
            <w:bCs/>
            <w:i/>
            <w:vanish/>
          </w:rPr>
          <w:t>bkunde@immucell.com</w:t>
        </w:r>
      </w:hyperlink>
      <w:r w:rsidRPr="00C90B3E">
        <w:rPr>
          <w:i/>
        </w:rPr>
        <w:t xml:space="preserve"> </w:t>
      </w:r>
      <w:r w:rsidRPr="00F6383C">
        <w:rPr>
          <w:i/>
        </w:rPr>
        <w:t xml:space="preserve">(2014) </w:t>
      </w:r>
      <w:r w:rsidRPr="00F6383C">
        <w:t xml:space="preserve">875 až 5 250 Kč na </w:t>
      </w:r>
      <w:r>
        <w:t xml:space="preserve">každé </w:t>
      </w:r>
      <w:r w:rsidRPr="00F6383C">
        <w:t>tele</w:t>
      </w:r>
      <w:r w:rsidRPr="00F6383C">
        <w:rPr>
          <w:i/>
        </w:rPr>
        <w:t>,</w:t>
      </w:r>
      <w:r w:rsidRPr="00F6383C">
        <w:t xml:space="preserve"> </w:t>
      </w:r>
      <w:r w:rsidRPr="00F6383C">
        <w:rPr>
          <w:i/>
        </w:rPr>
        <w:t>Zoetis (2014)</w:t>
      </w:r>
      <w:r w:rsidRPr="00F6383C">
        <w:t xml:space="preserve"> 705 Kč na každou krávu stáda apod.  </w:t>
      </w:r>
    </w:p>
    <w:p w:rsidR="00DD65A2" w:rsidRDefault="00DD65A2" w:rsidP="00DD65A2">
      <w:pPr>
        <w:spacing w:line="120" w:lineRule="auto"/>
        <w:rPr>
          <w:b/>
        </w:rPr>
      </w:pPr>
    </w:p>
    <w:p w:rsidR="00DD65A2" w:rsidRDefault="00DD65A2" w:rsidP="006915BC">
      <w:pPr>
        <w:pStyle w:val="Nadpis3"/>
      </w:pPr>
      <w:r>
        <w:t>Tab. 9 Přímé ztráty způsobené průjmem telat (na tele a výskyt)</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3698"/>
        <w:gridCol w:w="1623"/>
        <w:gridCol w:w="1625"/>
        <w:gridCol w:w="1625"/>
        <w:gridCol w:w="1623"/>
      </w:tblGrid>
      <w:tr w:rsidR="00DD65A2"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Default="00DD65A2" w:rsidP="006915BC">
            <w:pPr>
              <w:spacing w:before="40" w:line="240" w:lineRule="auto"/>
              <w:rPr>
                <w:b w:val="0"/>
              </w:rPr>
            </w:pPr>
            <w:r>
              <w:rPr>
                <w:b w:val="0"/>
              </w:rPr>
              <w:t>Ztráta, náklady</w:t>
            </w:r>
          </w:p>
        </w:tc>
        <w:tc>
          <w:tcPr>
            <w:tcW w:w="1593"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6915BC">
            <w:pPr>
              <w:spacing w:before="4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těžký průběh</w:t>
            </w:r>
          </w:p>
        </w:tc>
        <w:tc>
          <w:tcPr>
            <w:tcW w:w="1593"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6915BC">
            <w:pPr>
              <w:spacing w:before="4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lehký průběh</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Merge/>
            <w:tcBorders>
              <w:left w:val="none" w:sz="0" w:space="0" w:color="auto"/>
              <w:right w:val="none" w:sz="0" w:space="0" w:color="auto"/>
            </w:tcBorders>
            <w:shd w:val="clear" w:color="auto" w:fill="auto"/>
            <w:vAlign w:val="center"/>
          </w:tcPr>
          <w:p w:rsidR="00DD65A2" w:rsidRDefault="00DD65A2" w:rsidP="006915BC">
            <w:pPr>
              <w:spacing w:before="40" w:line="240" w:lineRule="auto"/>
              <w:rPr>
                <w:b w:val="0"/>
              </w:rPr>
            </w:pPr>
          </w:p>
        </w:tc>
        <w:tc>
          <w:tcPr>
            <w:tcW w:w="796" w:type="pct"/>
            <w:tcBorders>
              <w:left w:val="none" w:sz="0" w:space="0" w:color="auto"/>
              <w:right w:val="none" w:sz="0" w:space="0" w:color="auto"/>
            </w:tcBorders>
            <w:shd w:val="clear" w:color="auto" w:fill="F2F2F2" w:themeFill="background1" w:themeFillShade="F2"/>
            <w:vAlign w:val="center"/>
          </w:tcPr>
          <w:p w:rsidR="00DD65A2" w:rsidRPr="006915BC"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6915BC">
              <w:t>Kč</w:t>
            </w:r>
            <w:r w:rsidRPr="006915BC">
              <w:rPr>
                <w:vertAlign w:val="superscript"/>
              </w:rPr>
              <w:t>1)</w:t>
            </w:r>
          </w:p>
        </w:tc>
        <w:tc>
          <w:tcPr>
            <w:tcW w:w="797" w:type="pct"/>
            <w:tcBorders>
              <w:left w:val="none" w:sz="0" w:space="0" w:color="auto"/>
              <w:right w:val="none" w:sz="0" w:space="0" w:color="auto"/>
            </w:tcBorders>
            <w:shd w:val="clear" w:color="auto" w:fill="F2F2F2" w:themeFill="background1" w:themeFillShade="F2"/>
            <w:vAlign w:val="center"/>
          </w:tcPr>
          <w:p w:rsidR="00DD65A2" w:rsidRPr="006915BC"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pPr>
            <w:r w:rsidRPr="006915BC">
              <w:t>%</w:t>
            </w:r>
          </w:p>
        </w:tc>
        <w:tc>
          <w:tcPr>
            <w:tcW w:w="797" w:type="pct"/>
            <w:tcBorders>
              <w:left w:val="none" w:sz="0" w:space="0" w:color="auto"/>
              <w:right w:val="none" w:sz="0" w:space="0" w:color="auto"/>
            </w:tcBorders>
            <w:shd w:val="clear" w:color="auto" w:fill="F2F2F2" w:themeFill="background1" w:themeFillShade="F2"/>
            <w:vAlign w:val="center"/>
          </w:tcPr>
          <w:p w:rsidR="00DD65A2" w:rsidRPr="006915BC"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6915BC">
              <w:t>Kč</w:t>
            </w:r>
            <w:r w:rsidRPr="006915BC">
              <w:rPr>
                <w:vertAlign w:val="superscript"/>
              </w:rPr>
              <w:t>1)</w:t>
            </w:r>
          </w:p>
        </w:tc>
        <w:tc>
          <w:tcPr>
            <w:tcW w:w="796" w:type="pct"/>
            <w:tcBorders>
              <w:left w:val="none" w:sz="0" w:space="0" w:color="auto"/>
              <w:right w:val="none" w:sz="0" w:space="0" w:color="auto"/>
            </w:tcBorders>
            <w:shd w:val="clear" w:color="auto" w:fill="F2F2F2" w:themeFill="background1" w:themeFillShade="F2"/>
            <w:vAlign w:val="center"/>
          </w:tcPr>
          <w:p w:rsidR="00DD65A2" w:rsidRPr="006915BC"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pPr>
            <w:r w:rsidRPr="006915BC">
              <w:t>%</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6915BC">
            <w:pPr>
              <w:spacing w:before="40" w:line="240" w:lineRule="auto"/>
              <w:rPr>
                <w:b w:val="0"/>
              </w:rPr>
            </w:pPr>
            <w:r w:rsidRPr="001D12F5">
              <w:rPr>
                <w:b w:val="0"/>
              </w:rPr>
              <w:t>veterinář (práce, doprava aj.)</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1 950</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28,5</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1 170</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41,7</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6915BC">
            <w:pPr>
              <w:spacing w:before="40" w:line="240" w:lineRule="auto"/>
              <w:rPr>
                <w:b w:val="0"/>
              </w:rPr>
            </w:pPr>
            <w:r w:rsidRPr="001D12F5">
              <w:rPr>
                <w:b w:val="0"/>
              </w:rPr>
              <w:t>léky, elektrolyty aj.</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1 870</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27,4</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780</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27,8</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6915BC">
            <w:pPr>
              <w:spacing w:before="40" w:line="240" w:lineRule="auto"/>
              <w:rPr>
                <w:b w:val="0"/>
                <w:vertAlign w:val="superscript"/>
              </w:rPr>
            </w:pPr>
            <w:r w:rsidRPr="001D12F5">
              <w:rPr>
                <w:b w:val="0"/>
              </w:rPr>
              <w:t>prodloužení odchovu</w:t>
            </w:r>
            <w:r w:rsidRPr="001D12F5">
              <w:rPr>
                <w:b w:val="0"/>
                <w:vertAlign w:val="superscript"/>
              </w:rPr>
              <w:t>2)</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800</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11,6</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355</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6915BC">
            <w:pPr>
              <w:spacing w:before="40" w:line="240" w:lineRule="auto"/>
              <w:rPr>
                <w:b w:val="0"/>
                <w:vertAlign w:val="superscript"/>
              </w:rPr>
            </w:pPr>
            <w:r w:rsidRPr="001D12F5">
              <w:rPr>
                <w:b w:val="0"/>
              </w:rPr>
              <w:t>ztráty telat</w:t>
            </w:r>
            <w:r w:rsidRPr="001D12F5">
              <w:rPr>
                <w:b w:val="0"/>
                <w:vertAlign w:val="superscript"/>
              </w:rPr>
              <w:t>3)</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1 250</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18,3</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190</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6915BC">
            <w:pPr>
              <w:spacing w:before="40" w:line="240" w:lineRule="auto"/>
              <w:rPr>
                <w:b w:val="0"/>
                <w:vertAlign w:val="superscript"/>
              </w:rPr>
            </w:pPr>
            <w:r w:rsidRPr="001D12F5">
              <w:rPr>
                <w:b w:val="0"/>
              </w:rPr>
              <w:t>zvýšení pracovních nákladů</w:t>
            </w:r>
            <w:r w:rsidRPr="001D12F5">
              <w:rPr>
                <w:b w:val="0"/>
                <w:vertAlign w:val="superscript"/>
              </w:rPr>
              <w:t>4)</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970</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14,2</w:t>
            </w:r>
          </w:p>
        </w:tc>
        <w:tc>
          <w:tcPr>
            <w:tcW w:w="797"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315</w:t>
            </w:r>
          </w:p>
        </w:tc>
        <w:tc>
          <w:tcPr>
            <w:tcW w:w="796" w:type="pct"/>
            <w:shd w:val="clear" w:color="auto" w:fill="auto"/>
            <w:vAlign w:val="center"/>
          </w:tcPr>
          <w:p w:rsidR="00DD65A2"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11,1</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6915BC">
            <w:pPr>
              <w:spacing w:before="40" w:line="240" w:lineRule="auto"/>
              <w:rPr>
                <w:b w:val="0"/>
              </w:rPr>
            </w:pPr>
            <w:r w:rsidRPr="001D12F5">
              <w:rPr>
                <w:b w:val="0"/>
              </w:rPr>
              <w:t>celkem</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6 840</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100,0</w:t>
            </w:r>
          </w:p>
        </w:tc>
        <w:tc>
          <w:tcPr>
            <w:tcW w:w="797"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2 810</w:t>
            </w:r>
          </w:p>
        </w:tc>
        <w:tc>
          <w:tcPr>
            <w:tcW w:w="796" w:type="pct"/>
            <w:tcBorders>
              <w:left w:val="none" w:sz="0" w:space="0" w:color="auto"/>
              <w:right w:val="none" w:sz="0" w:space="0" w:color="auto"/>
            </w:tcBorders>
            <w:shd w:val="clear" w:color="auto" w:fill="auto"/>
            <w:vAlign w:val="center"/>
          </w:tcPr>
          <w:p w:rsidR="00DD65A2" w:rsidRDefault="00DD65A2" w:rsidP="006915BC">
            <w:pPr>
              <w:spacing w:before="4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100,0</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6915BC">
            <w:pPr>
              <w:spacing w:before="40" w:line="240" w:lineRule="auto"/>
              <w:rPr>
                <w:b w:val="0"/>
              </w:rPr>
            </w:pPr>
            <w:r w:rsidRPr="001D12F5">
              <w:rPr>
                <w:b w:val="0"/>
              </w:rPr>
              <w:t>přírůstek hmotnosti (g/tele/den)</w:t>
            </w:r>
          </w:p>
        </w:tc>
        <w:tc>
          <w:tcPr>
            <w:tcW w:w="1593" w:type="pct"/>
            <w:gridSpan w:val="2"/>
            <w:shd w:val="clear" w:color="auto" w:fill="auto"/>
            <w:vAlign w:val="center"/>
          </w:tcPr>
          <w:p w:rsidR="00DD65A2" w:rsidRPr="000B1ACC"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pPr>
            <w:r>
              <w:t>697</w:t>
            </w:r>
          </w:p>
        </w:tc>
        <w:tc>
          <w:tcPr>
            <w:tcW w:w="1593" w:type="pct"/>
            <w:gridSpan w:val="2"/>
            <w:shd w:val="clear" w:color="auto" w:fill="auto"/>
            <w:vAlign w:val="center"/>
          </w:tcPr>
          <w:p w:rsidR="00DD65A2" w:rsidRPr="000B1ACC" w:rsidRDefault="00DD65A2" w:rsidP="006915BC">
            <w:pPr>
              <w:spacing w:before="40" w:line="240" w:lineRule="auto"/>
              <w:jc w:val="center"/>
              <w:cnfStyle w:val="000000000000" w:firstRow="0" w:lastRow="0" w:firstColumn="0" w:lastColumn="0" w:oddVBand="0" w:evenVBand="0" w:oddHBand="0" w:evenHBand="0" w:firstRowFirstColumn="0" w:firstRowLastColumn="0" w:lastRowFirstColumn="0" w:lastRowLastColumn="0"/>
            </w:pPr>
            <w:r>
              <w:t>754</w:t>
            </w:r>
          </w:p>
        </w:tc>
      </w:tr>
    </w:tbl>
    <w:p w:rsidR="00DD65A2" w:rsidRPr="0082563A" w:rsidRDefault="00DD65A2" w:rsidP="006915BC">
      <w:pPr>
        <w:shd w:val="clear" w:color="auto" w:fill="FFFFFF"/>
        <w:spacing w:before="60"/>
        <w:rPr>
          <w:i/>
          <w:color w:val="222222"/>
          <w:sz w:val="18"/>
          <w:szCs w:val="18"/>
        </w:rPr>
      </w:pPr>
      <w:r w:rsidRPr="0082563A">
        <w:rPr>
          <w:i/>
          <w:color w:val="222222"/>
          <w:sz w:val="18"/>
          <w:szCs w:val="18"/>
        </w:rPr>
        <w:t>Pramen: Lührmann (2009).</w:t>
      </w:r>
    </w:p>
    <w:p w:rsidR="00DD65A2" w:rsidRPr="0082563A" w:rsidRDefault="00DD65A2" w:rsidP="006915BC">
      <w:pPr>
        <w:shd w:val="clear" w:color="auto" w:fill="FFFFFF"/>
        <w:spacing w:before="0" w:line="240" w:lineRule="auto"/>
        <w:rPr>
          <w:i/>
          <w:color w:val="222222"/>
          <w:sz w:val="18"/>
          <w:szCs w:val="18"/>
        </w:rPr>
      </w:pPr>
      <w:r w:rsidRPr="0082563A">
        <w:rPr>
          <w:i/>
          <w:color w:val="222222"/>
          <w:sz w:val="18"/>
          <w:szCs w:val="18"/>
        </w:rPr>
        <w:t xml:space="preserve">1) </w:t>
      </w:r>
      <w:r w:rsidRPr="0082563A">
        <w:rPr>
          <w:i/>
          <w:sz w:val="18"/>
          <w:szCs w:val="18"/>
        </w:rPr>
        <w:t>1 € = 26,00 Kč;</w:t>
      </w:r>
    </w:p>
    <w:p w:rsidR="00DD65A2" w:rsidRPr="0082563A" w:rsidRDefault="00DD65A2" w:rsidP="006915BC">
      <w:pPr>
        <w:shd w:val="clear" w:color="auto" w:fill="FFFFFF"/>
        <w:spacing w:before="0" w:line="240" w:lineRule="auto"/>
        <w:rPr>
          <w:i/>
          <w:color w:val="222222"/>
          <w:sz w:val="18"/>
          <w:szCs w:val="18"/>
        </w:rPr>
      </w:pPr>
      <w:r w:rsidRPr="0082563A">
        <w:rPr>
          <w:i/>
          <w:color w:val="222222"/>
          <w:sz w:val="18"/>
          <w:szCs w:val="18"/>
        </w:rPr>
        <w:t>2) o 9 dnů při těžkém a o 4 dny při lehkém průběhu onemocnění;</w:t>
      </w:r>
    </w:p>
    <w:p w:rsidR="00DD65A2" w:rsidRPr="0082563A" w:rsidRDefault="00DD65A2" w:rsidP="006915BC">
      <w:pPr>
        <w:shd w:val="clear" w:color="auto" w:fill="FFFFFF"/>
        <w:spacing w:before="0" w:line="240" w:lineRule="auto"/>
        <w:rPr>
          <w:i/>
          <w:color w:val="222222"/>
          <w:sz w:val="18"/>
          <w:szCs w:val="18"/>
        </w:rPr>
      </w:pPr>
      <w:r w:rsidRPr="0082563A">
        <w:rPr>
          <w:i/>
          <w:color w:val="222222"/>
          <w:sz w:val="18"/>
          <w:szCs w:val="18"/>
        </w:rPr>
        <w:t>3) 13 % při těžkém a 2 % při lehkém průběhu onemocnění;</w:t>
      </w:r>
    </w:p>
    <w:p w:rsidR="00DD65A2" w:rsidRPr="0082563A" w:rsidRDefault="00DD65A2" w:rsidP="006915BC">
      <w:pPr>
        <w:shd w:val="clear" w:color="auto" w:fill="FFFFFF"/>
        <w:spacing w:before="0" w:line="240" w:lineRule="auto"/>
        <w:rPr>
          <w:i/>
          <w:color w:val="222222"/>
          <w:sz w:val="18"/>
          <w:szCs w:val="18"/>
        </w:rPr>
      </w:pPr>
      <w:r w:rsidRPr="0082563A">
        <w:rPr>
          <w:i/>
          <w:color w:val="222222"/>
          <w:sz w:val="18"/>
          <w:szCs w:val="18"/>
        </w:rPr>
        <w:t>4) o 2,5 hod. při těžkém a 0,8 hod. při lehkém průběhu onemocnění.</w:t>
      </w:r>
    </w:p>
    <w:p w:rsidR="00DD65A2" w:rsidRPr="004428FD" w:rsidRDefault="00DD65A2" w:rsidP="00DD65A2">
      <w:pPr>
        <w:shd w:val="clear" w:color="auto" w:fill="FFFFFF"/>
        <w:spacing w:before="0"/>
      </w:pPr>
      <w:r w:rsidRPr="003A766D">
        <w:rPr>
          <w:spacing w:val="-2"/>
        </w:rPr>
        <w:lastRenderedPageBreak/>
        <w:t>Stejný autor (</w:t>
      </w:r>
      <w:r w:rsidRPr="003A766D">
        <w:rPr>
          <w:i/>
          <w:spacing w:val="-2"/>
        </w:rPr>
        <w:t>Lührmann, 2009</w:t>
      </w:r>
      <w:r w:rsidRPr="003A766D">
        <w:rPr>
          <w:spacing w:val="-2"/>
        </w:rPr>
        <w:t>) uvádí přímé ztráty těžkého a lehkého onemocnění</w:t>
      </w:r>
      <w:r w:rsidRPr="004428FD">
        <w:t xml:space="preserve"> dýchacích cest </w:t>
      </w:r>
      <w:r>
        <w:t>ve výši 6 085</w:t>
      </w:r>
      <w:r w:rsidRPr="004428FD">
        <w:t xml:space="preserve"> a 2 </w:t>
      </w:r>
      <w:r>
        <w:t>3</w:t>
      </w:r>
      <w:r w:rsidRPr="004428FD">
        <w:t>50 Kč</w:t>
      </w:r>
      <w:r>
        <w:t xml:space="preserve"> na tele</w:t>
      </w:r>
      <w:r w:rsidRPr="004428FD">
        <w:t xml:space="preserve"> (tab. 10). </w:t>
      </w:r>
      <w:r>
        <w:t xml:space="preserve">Podílejí se na nich veterinární výkony a léky </w:t>
      </w:r>
      <w:r w:rsidRPr="003A766D">
        <w:rPr>
          <w:spacing w:val="-4"/>
        </w:rPr>
        <w:t>69 a 66 %, ztráty telat 14 a 12 %, delší odchov 10 a 11 % a zvýšení pracovních nákladů 6 a 10</w:t>
      </w:r>
      <w:r>
        <w:t xml:space="preserve"> %.</w:t>
      </w:r>
    </w:p>
    <w:p w:rsidR="00DD65A2" w:rsidRDefault="00DD65A2" w:rsidP="00DD65A2">
      <w:pPr>
        <w:shd w:val="clear" w:color="auto" w:fill="FFFFFF"/>
        <w:spacing w:before="0" w:line="120" w:lineRule="auto"/>
        <w:rPr>
          <w:color w:val="FF0000"/>
        </w:rPr>
      </w:pPr>
    </w:p>
    <w:p w:rsidR="00DD65A2" w:rsidRDefault="00DD65A2" w:rsidP="0082563A">
      <w:pPr>
        <w:pStyle w:val="Nadpis3"/>
      </w:pPr>
      <w:r>
        <w:t>Tab. 10 Přímé ztráty způsobené onemocněním dýchacích cest telat (na tele a výskyt)</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3698"/>
        <w:gridCol w:w="1623"/>
        <w:gridCol w:w="1625"/>
        <w:gridCol w:w="1625"/>
        <w:gridCol w:w="1623"/>
      </w:tblGrid>
      <w:tr w:rsidR="00DD65A2"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Default="00DD65A2" w:rsidP="0082563A">
            <w:pPr>
              <w:spacing w:before="0" w:line="264" w:lineRule="auto"/>
              <w:rPr>
                <w:b w:val="0"/>
              </w:rPr>
            </w:pPr>
            <w:r>
              <w:rPr>
                <w:b w:val="0"/>
              </w:rPr>
              <w:t>Ztráta, náklady</w:t>
            </w:r>
          </w:p>
        </w:tc>
        <w:tc>
          <w:tcPr>
            <w:tcW w:w="1593"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82563A">
            <w:pPr>
              <w:spacing w:before="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těžký průběh</w:t>
            </w:r>
          </w:p>
        </w:tc>
        <w:tc>
          <w:tcPr>
            <w:tcW w:w="1593"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82563A">
            <w:pPr>
              <w:spacing w:before="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lehký průběh</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vMerge/>
            <w:tcBorders>
              <w:left w:val="none" w:sz="0" w:space="0" w:color="auto"/>
              <w:right w:val="none" w:sz="0" w:space="0" w:color="auto"/>
            </w:tcBorders>
            <w:shd w:val="clear" w:color="auto" w:fill="auto"/>
            <w:vAlign w:val="center"/>
          </w:tcPr>
          <w:p w:rsidR="00DD65A2" w:rsidRDefault="00DD65A2" w:rsidP="0082563A">
            <w:pPr>
              <w:spacing w:before="0" w:line="264" w:lineRule="auto"/>
              <w:rPr>
                <w:b w:val="0"/>
              </w:rPr>
            </w:pPr>
          </w:p>
        </w:tc>
        <w:tc>
          <w:tcPr>
            <w:tcW w:w="796" w:type="pct"/>
            <w:tcBorders>
              <w:left w:val="none" w:sz="0" w:space="0" w:color="auto"/>
              <w:right w:val="none" w:sz="0" w:space="0" w:color="auto"/>
            </w:tcBorders>
            <w:shd w:val="clear" w:color="auto" w:fill="F2F2F2" w:themeFill="background1" w:themeFillShade="F2"/>
            <w:vAlign w:val="center"/>
          </w:tcPr>
          <w:p w:rsidR="00DD65A2" w:rsidRPr="0082563A"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82563A">
              <w:t>Kč</w:t>
            </w:r>
            <w:r w:rsidRPr="0082563A">
              <w:rPr>
                <w:vertAlign w:val="superscript"/>
              </w:rPr>
              <w:t>1)</w:t>
            </w:r>
          </w:p>
        </w:tc>
        <w:tc>
          <w:tcPr>
            <w:tcW w:w="797" w:type="pct"/>
            <w:tcBorders>
              <w:left w:val="none" w:sz="0" w:space="0" w:color="auto"/>
              <w:right w:val="none" w:sz="0" w:space="0" w:color="auto"/>
            </w:tcBorders>
            <w:shd w:val="clear" w:color="auto" w:fill="F2F2F2" w:themeFill="background1" w:themeFillShade="F2"/>
            <w:vAlign w:val="center"/>
          </w:tcPr>
          <w:p w:rsidR="00DD65A2" w:rsidRPr="0082563A"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pPr>
            <w:r w:rsidRPr="0082563A">
              <w:t>%</w:t>
            </w:r>
          </w:p>
        </w:tc>
        <w:tc>
          <w:tcPr>
            <w:tcW w:w="797" w:type="pct"/>
            <w:tcBorders>
              <w:left w:val="none" w:sz="0" w:space="0" w:color="auto"/>
              <w:right w:val="none" w:sz="0" w:space="0" w:color="auto"/>
            </w:tcBorders>
            <w:shd w:val="clear" w:color="auto" w:fill="F2F2F2" w:themeFill="background1" w:themeFillShade="F2"/>
            <w:vAlign w:val="center"/>
          </w:tcPr>
          <w:p w:rsidR="00DD65A2" w:rsidRPr="0082563A"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vertAlign w:val="superscript"/>
              </w:rPr>
            </w:pPr>
            <w:r w:rsidRPr="0082563A">
              <w:t>Kč</w:t>
            </w:r>
            <w:r w:rsidRPr="0082563A">
              <w:rPr>
                <w:vertAlign w:val="superscript"/>
              </w:rPr>
              <w:t>1)</w:t>
            </w:r>
          </w:p>
        </w:tc>
        <w:tc>
          <w:tcPr>
            <w:tcW w:w="796" w:type="pct"/>
            <w:tcBorders>
              <w:left w:val="none" w:sz="0" w:space="0" w:color="auto"/>
              <w:right w:val="none" w:sz="0" w:space="0" w:color="auto"/>
            </w:tcBorders>
            <w:shd w:val="clear" w:color="auto" w:fill="F2F2F2" w:themeFill="background1" w:themeFillShade="F2"/>
            <w:vAlign w:val="center"/>
          </w:tcPr>
          <w:p w:rsidR="00DD65A2" w:rsidRPr="0082563A"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pPr>
            <w:r w:rsidRPr="0082563A">
              <w:t>%</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82563A">
            <w:pPr>
              <w:spacing w:before="0" w:line="264" w:lineRule="auto"/>
              <w:rPr>
                <w:b w:val="0"/>
              </w:rPr>
            </w:pPr>
            <w:r w:rsidRPr="001D12F5">
              <w:rPr>
                <w:b w:val="0"/>
              </w:rPr>
              <w:t>veterinář (práce, doprava aj.)</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2 340</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38,4</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780</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33,2</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82563A">
            <w:pPr>
              <w:spacing w:before="0" w:line="264" w:lineRule="auto"/>
              <w:rPr>
                <w:b w:val="0"/>
              </w:rPr>
            </w:pPr>
            <w:r w:rsidRPr="001D12F5">
              <w:rPr>
                <w:b w:val="0"/>
              </w:rPr>
              <w:t>léky, elektrolyty aj.</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1 870</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30,8</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780</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33,2</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82563A">
            <w:pPr>
              <w:spacing w:before="0" w:line="264" w:lineRule="auto"/>
              <w:rPr>
                <w:b w:val="0"/>
                <w:vertAlign w:val="superscript"/>
              </w:rPr>
            </w:pPr>
            <w:r w:rsidRPr="001D12F5">
              <w:rPr>
                <w:b w:val="0"/>
              </w:rPr>
              <w:t>ztráty telat</w:t>
            </w:r>
            <w:r w:rsidRPr="001D12F5">
              <w:rPr>
                <w:b w:val="0"/>
                <w:vertAlign w:val="superscript"/>
              </w:rPr>
              <w:t>3)</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865</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14,2</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290</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12,3</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82563A">
            <w:pPr>
              <w:spacing w:before="0" w:line="264" w:lineRule="auto"/>
              <w:rPr>
                <w:b w:val="0"/>
                <w:vertAlign w:val="superscript"/>
              </w:rPr>
            </w:pPr>
            <w:r w:rsidRPr="001D12F5">
              <w:rPr>
                <w:b w:val="0"/>
              </w:rPr>
              <w:t>prodloužení odchovu</w:t>
            </w:r>
            <w:r w:rsidRPr="001D12F5">
              <w:rPr>
                <w:b w:val="0"/>
                <w:vertAlign w:val="superscript"/>
              </w:rPr>
              <w:t>2)</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620</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10,2</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265</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11,3</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82563A">
            <w:pPr>
              <w:spacing w:before="0" w:line="264" w:lineRule="auto"/>
              <w:rPr>
                <w:b w:val="0"/>
                <w:vertAlign w:val="superscript"/>
              </w:rPr>
            </w:pPr>
            <w:r w:rsidRPr="001D12F5">
              <w:rPr>
                <w:b w:val="0"/>
              </w:rPr>
              <w:t>zvýšení pracovních nákladů</w:t>
            </w:r>
            <w:r w:rsidRPr="001D12F5">
              <w:rPr>
                <w:b w:val="0"/>
                <w:vertAlign w:val="superscript"/>
              </w:rPr>
              <w:t>4)</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390</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c>
          <w:tcPr>
            <w:tcW w:w="797"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235</w:t>
            </w:r>
          </w:p>
        </w:tc>
        <w:tc>
          <w:tcPr>
            <w:tcW w:w="796" w:type="pct"/>
            <w:shd w:val="clear" w:color="auto" w:fill="auto"/>
            <w:vAlign w:val="center"/>
          </w:tcPr>
          <w:p w:rsidR="00DD65A2"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left w:val="none" w:sz="0" w:space="0" w:color="auto"/>
              <w:right w:val="none" w:sz="0" w:space="0" w:color="auto"/>
            </w:tcBorders>
            <w:shd w:val="clear" w:color="auto" w:fill="F2F2F2" w:themeFill="background1" w:themeFillShade="F2"/>
            <w:vAlign w:val="center"/>
          </w:tcPr>
          <w:p w:rsidR="00DD65A2" w:rsidRPr="001D12F5" w:rsidRDefault="00DD65A2" w:rsidP="0082563A">
            <w:pPr>
              <w:spacing w:before="0" w:line="264" w:lineRule="auto"/>
              <w:rPr>
                <w:b w:val="0"/>
              </w:rPr>
            </w:pPr>
            <w:r w:rsidRPr="001D12F5">
              <w:rPr>
                <w:b w:val="0"/>
              </w:rPr>
              <w:t>celkem</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6 085</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797"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2 350</w:t>
            </w:r>
          </w:p>
        </w:tc>
        <w:tc>
          <w:tcPr>
            <w:tcW w:w="796" w:type="pct"/>
            <w:tcBorders>
              <w:left w:val="none" w:sz="0" w:space="0" w:color="auto"/>
              <w:right w:val="none" w:sz="0" w:space="0" w:color="auto"/>
            </w:tcBorders>
            <w:shd w:val="clear" w:color="auto" w:fill="auto"/>
            <w:vAlign w:val="center"/>
          </w:tcPr>
          <w:p w:rsidR="00DD65A2" w:rsidRDefault="00DD65A2" w:rsidP="0082563A">
            <w:pPr>
              <w:spacing w:before="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r>
      <w:tr w:rsidR="00DD65A2" w:rsidTr="001D12F5">
        <w:tc>
          <w:tcPr>
            <w:cnfStyle w:val="001000000000" w:firstRow="0" w:lastRow="0" w:firstColumn="1" w:lastColumn="0" w:oddVBand="0" w:evenVBand="0" w:oddHBand="0" w:evenHBand="0" w:firstRowFirstColumn="0" w:firstRowLastColumn="0" w:lastRowFirstColumn="0" w:lastRowLastColumn="0"/>
            <w:tcW w:w="1814" w:type="pct"/>
            <w:shd w:val="clear" w:color="auto" w:fill="F2F2F2" w:themeFill="background1" w:themeFillShade="F2"/>
            <w:vAlign w:val="center"/>
          </w:tcPr>
          <w:p w:rsidR="00DD65A2" w:rsidRPr="001D12F5" w:rsidRDefault="00DD65A2" w:rsidP="0082563A">
            <w:pPr>
              <w:spacing w:before="0" w:line="264" w:lineRule="auto"/>
              <w:rPr>
                <w:b w:val="0"/>
              </w:rPr>
            </w:pPr>
            <w:r w:rsidRPr="001D12F5">
              <w:rPr>
                <w:b w:val="0"/>
              </w:rPr>
              <w:t>přírůstek hmotnosti (g/tele/den)</w:t>
            </w:r>
          </w:p>
        </w:tc>
        <w:tc>
          <w:tcPr>
            <w:tcW w:w="1593" w:type="pct"/>
            <w:gridSpan w:val="2"/>
            <w:shd w:val="clear" w:color="auto" w:fill="auto"/>
            <w:vAlign w:val="center"/>
          </w:tcPr>
          <w:p w:rsidR="00DD65A2" w:rsidRPr="000B1ACC"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pPr>
            <w:r>
              <w:t>720</w:t>
            </w:r>
          </w:p>
        </w:tc>
        <w:tc>
          <w:tcPr>
            <w:tcW w:w="1593" w:type="pct"/>
            <w:gridSpan w:val="2"/>
            <w:shd w:val="clear" w:color="auto" w:fill="auto"/>
            <w:vAlign w:val="center"/>
          </w:tcPr>
          <w:p w:rsidR="00DD65A2" w:rsidRPr="000B1ACC" w:rsidRDefault="00DD65A2" w:rsidP="0082563A">
            <w:pPr>
              <w:spacing w:before="0" w:line="264" w:lineRule="auto"/>
              <w:jc w:val="center"/>
              <w:cnfStyle w:val="000000000000" w:firstRow="0" w:lastRow="0" w:firstColumn="0" w:lastColumn="0" w:oddVBand="0" w:evenVBand="0" w:oddHBand="0" w:evenHBand="0" w:firstRowFirstColumn="0" w:firstRowLastColumn="0" w:lastRowFirstColumn="0" w:lastRowLastColumn="0"/>
            </w:pPr>
            <w:r>
              <w:t>754</w:t>
            </w:r>
          </w:p>
        </w:tc>
      </w:tr>
    </w:tbl>
    <w:p w:rsidR="00DD65A2" w:rsidRPr="0082563A" w:rsidRDefault="00DD65A2" w:rsidP="00DD65A2">
      <w:pPr>
        <w:shd w:val="clear" w:color="auto" w:fill="FFFFFF"/>
        <w:rPr>
          <w:i/>
          <w:color w:val="222222"/>
          <w:sz w:val="18"/>
          <w:szCs w:val="18"/>
        </w:rPr>
      </w:pPr>
      <w:r w:rsidRPr="0082563A">
        <w:rPr>
          <w:i/>
          <w:color w:val="222222"/>
          <w:sz w:val="18"/>
          <w:szCs w:val="18"/>
        </w:rPr>
        <w:t>Pramen: Lührmann (2009).</w:t>
      </w:r>
    </w:p>
    <w:p w:rsidR="00DD65A2" w:rsidRPr="0082563A" w:rsidRDefault="00DD65A2" w:rsidP="0082563A">
      <w:pPr>
        <w:shd w:val="clear" w:color="auto" w:fill="FFFFFF"/>
        <w:spacing w:before="0"/>
        <w:rPr>
          <w:i/>
          <w:color w:val="222222"/>
          <w:sz w:val="18"/>
          <w:szCs w:val="18"/>
        </w:rPr>
      </w:pPr>
      <w:r w:rsidRPr="0082563A">
        <w:rPr>
          <w:i/>
          <w:color w:val="222222"/>
          <w:sz w:val="18"/>
          <w:szCs w:val="18"/>
        </w:rPr>
        <w:t xml:space="preserve">1) </w:t>
      </w:r>
      <w:r w:rsidRPr="0082563A">
        <w:rPr>
          <w:i/>
          <w:sz w:val="18"/>
          <w:szCs w:val="18"/>
        </w:rPr>
        <w:t>1 € = 26,00 Kč;</w:t>
      </w:r>
    </w:p>
    <w:p w:rsidR="00DD65A2" w:rsidRPr="0082563A" w:rsidRDefault="00DD65A2" w:rsidP="0082563A">
      <w:pPr>
        <w:shd w:val="clear" w:color="auto" w:fill="FFFFFF"/>
        <w:spacing w:before="0"/>
        <w:rPr>
          <w:i/>
          <w:color w:val="222222"/>
          <w:sz w:val="18"/>
          <w:szCs w:val="18"/>
        </w:rPr>
      </w:pPr>
      <w:r w:rsidRPr="0082563A">
        <w:rPr>
          <w:i/>
          <w:color w:val="222222"/>
          <w:sz w:val="18"/>
          <w:szCs w:val="18"/>
        </w:rPr>
        <w:t>2) o 7 dnů při těžkém a o 3 dny při lehkém průběhu onemocnění;</w:t>
      </w:r>
    </w:p>
    <w:p w:rsidR="00DD65A2" w:rsidRPr="0082563A" w:rsidRDefault="00DD65A2" w:rsidP="0082563A">
      <w:pPr>
        <w:shd w:val="clear" w:color="auto" w:fill="FFFFFF"/>
        <w:spacing w:before="0"/>
        <w:rPr>
          <w:i/>
          <w:color w:val="222222"/>
          <w:sz w:val="18"/>
          <w:szCs w:val="18"/>
        </w:rPr>
      </w:pPr>
      <w:r w:rsidRPr="0082563A">
        <w:rPr>
          <w:i/>
          <w:color w:val="222222"/>
          <w:sz w:val="18"/>
          <w:szCs w:val="18"/>
        </w:rPr>
        <w:t>3) 9 % při těžkém a 3 % při lehkém průběhu onemocnění;</w:t>
      </w:r>
    </w:p>
    <w:p w:rsidR="00DD65A2" w:rsidRPr="0082563A" w:rsidRDefault="00DD65A2" w:rsidP="0082563A">
      <w:pPr>
        <w:shd w:val="clear" w:color="auto" w:fill="FFFFFF"/>
        <w:spacing w:before="0"/>
        <w:rPr>
          <w:i/>
          <w:color w:val="222222"/>
          <w:sz w:val="18"/>
          <w:szCs w:val="18"/>
        </w:rPr>
      </w:pPr>
      <w:r w:rsidRPr="0082563A">
        <w:rPr>
          <w:i/>
          <w:color w:val="222222"/>
          <w:sz w:val="18"/>
          <w:szCs w:val="18"/>
        </w:rPr>
        <w:t>4) o 1,0 hod. při těžkém a 0,6 hod. při lehkém průběhu onemocnění.</w:t>
      </w:r>
    </w:p>
    <w:p w:rsidR="00DD65A2" w:rsidRPr="004B0163" w:rsidRDefault="00DD65A2" w:rsidP="00DD65A2">
      <w:pPr>
        <w:shd w:val="clear" w:color="auto" w:fill="FFFFFF"/>
        <w:spacing w:line="120" w:lineRule="auto"/>
        <w:rPr>
          <w:b/>
          <w:i/>
          <w:color w:val="222222"/>
          <w:szCs w:val="20"/>
        </w:rPr>
      </w:pPr>
    </w:p>
    <w:p w:rsidR="00DD65A2" w:rsidRDefault="00DD65A2" w:rsidP="00DD65A2">
      <w:pPr>
        <w:autoSpaceDE w:val="0"/>
        <w:autoSpaceDN w:val="0"/>
        <w:adjustRightInd w:val="0"/>
        <w:rPr>
          <w:rFonts w:ascii="Arial" w:hAnsi="Arial" w:cs="Arial"/>
          <w:sz w:val="19"/>
          <w:szCs w:val="19"/>
        </w:rPr>
      </w:pPr>
      <w:r>
        <w:rPr>
          <w:bCs/>
          <w:szCs w:val="24"/>
        </w:rPr>
        <w:t xml:space="preserve">Firma </w:t>
      </w:r>
      <w:r w:rsidRPr="005F2FD9">
        <w:rPr>
          <w:bCs/>
          <w:i/>
          <w:spacing w:val="-2"/>
          <w:szCs w:val="24"/>
        </w:rPr>
        <w:t>Zoetis</w:t>
      </w:r>
      <w:r>
        <w:rPr>
          <w:bCs/>
          <w:i/>
          <w:spacing w:val="-2"/>
          <w:szCs w:val="24"/>
        </w:rPr>
        <w:t xml:space="preserve"> </w:t>
      </w:r>
      <w:r w:rsidRPr="005F2FD9">
        <w:rPr>
          <w:bCs/>
          <w:i/>
          <w:spacing w:val="-2"/>
          <w:szCs w:val="24"/>
        </w:rPr>
        <w:t xml:space="preserve">(2017) </w:t>
      </w:r>
      <w:r w:rsidRPr="005F2FD9">
        <w:rPr>
          <w:bCs/>
          <w:spacing w:val="-2"/>
          <w:szCs w:val="24"/>
        </w:rPr>
        <w:t>uvádí ekonomickou ztrátu vyvolanou touto chorobou (nižší hmotnost</w:t>
      </w:r>
      <w:r>
        <w:rPr>
          <w:bCs/>
          <w:spacing w:val="-2"/>
          <w:szCs w:val="24"/>
        </w:rPr>
        <w:t xml:space="preserve">, </w:t>
      </w:r>
      <w:r w:rsidRPr="005F2FD9">
        <w:rPr>
          <w:bCs/>
          <w:spacing w:val="-2"/>
          <w:szCs w:val="24"/>
        </w:rPr>
        <w:t>vyšší</w:t>
      </w:r>
      <w:r>
        <w:rPr>
          <w:bCs/>
          <w:szCs w:val="24"/>
        </w:rPr>
        <w:t xml:space="preserve"> ztráty </w:t>
      </w:r>
      <w:r w:rsidRPr="00BD2152">
        <w:rPr>
          <w:bCs/>
          <w:szCs w:val="24"/>
        </w:rPr>
        <w:t xml:space="preserve">telat a vyšší pracovní náklady o 1 690 Kč na každé tele dojených krav a o 3 200 Kč na tele od krav bez TPM, britská společnost </w:t>
      </w:r>
      <w:r w:rsidRPr="00BD2152">
        <w:rPr>
          <w:bCs/>
          <w:i/>
          <w:szCs w:val="24"/>
        </w:rPr>
        <w:t xml:space="preserve">Norbrook </w:t>
      </w:r>
      <w:r w:rsidRPr="00BD2152">
        <w:rPr>
          <w:bCs/>
          <w:szCs w:val="24"/>
        </w:rPr>
        <w:t xml:space="preserve">uvažuje se ztrátou přepočítanou na </w:t>
      </w:r>
      <w:r w:rsidRPr="0086141D">
        <w:rPr>
          <w:bCs/>
          <w:spacing w:val="-2"/>
          <w:szCs w:val="24"/>
        </w:rPr>
        <w:t xml:space="preserve">tele mezi 855 a 2 280 Kč s možností zvýšení až na 14 250 Kč při ztrátě telete. </w:t>
      </w:r>
      <w:r w:rsidRPr="0086141D">
        <w:rPr>
          <w:bCs/>
          <w:i/>
          <w:spacing w:val="-2"/>
          <w:szCs w:val="24"/>
        </w:rPr>
        <w:t>Charlton</w:t>
      </w:r>
      <w:r>
        <w:rPr>
          <w:bCs/>
          <w:i/>
          <w:szCs w:val="24"/>
        </w:rPr>
        <w:t xml:space="preserve"> (2017) </w:t>
      </w:r>
      <w:r>
        <w:rPr>
          <w:bCs/>
          <w:szCs w:val="24"/>
        </w:rPr>
        <w:t>uv</w:t>
      </w:r>
      <w:r w:rsidRPr="008631C8">
        <w:rPr>
          <w:bCs/>
          <w:szCs w:val="24"/>
        </w:rPr>
        <w:t>ádí ztrátu</w:t>
      </w:r>
      <w:r>
        <w:rPr>
          <w:bCs/>
          <w:szCs w:val="24"/>
        </w:rPr>
        <w:t xml:space="preserve"> 1 225 </w:t>
      </w:r>
      <w:r w:rsidRPr="008631C8">
        <w:rPr>
          <w:bCs/>
          <w:spacing w:val="-2"/>
          <w:szCs w:val="24"/>
        </w:rPr>
        <w:t>až 2 395 Kč pro tele postižené poruchou respirace, 2 965 Kč při každém dalším</w:t>
      </w:r>
      <w:r>
        <w:rPr>
          <w:bCs/>
          <w:szCs w:val="24"/>
        </w:rPr>
        <w:t xml:space="preserve"> ošetření a 8 465 Kč za nižší produkci mléka v prvních dvou laktacích. </w:t>
      </w:r>
    </w:p>
    <w:p w:rsidR="00DD65A2" w:rsidRPr="00BC4E5B" w:rsidRDefault="00DD65A2" w:rsidP="00DD65A2">
      <w:pPr>
        <w:spacing w:line="120" w:lineRule="auto"/>
        <w:rPr>
          <w:b/>
          <w:i/>
        </w:rPr>
      </w:pPr>
    </w:p>
    <w:p w:rsidR="00DD65A2" w:rsidRPr="00255F3A" w:rsidRDefault="00DD65A2" w:rsidP="001D12F5">
      <w:pPr>
        <w:pStyle w:val="Nadpis2"/>
      </w:pPr>
      <w:bookmarkStart w:id="56" w:name="_Toc497823128"/>
      <w:bookmarkStart w:id="57" w:name="_Toc497823607"/>
      <w:bookmarkStart w:id="58" w:name="_Toc497823702"/>
      <w:bookmarkStart w:id="59" w:name="_Toc497884740"/>
      <w:r>
        <w:t>Přímé a nepřímé ztráty na krávu způsobené produkčními chorobami</w:t>
      </w:r>
      <w:bookmarkEnd w:id="56"/>
      <w:bookmarkEnd w:id="57"/>
      <w:bookmarkEnd w:id="58"/>
      <w:bookmarkEnd w:id="59"/>
    </w:p>
    <w:p w:rsidR="00DD65A2" w:rsidRDefault="00DD65A2" w:rsidP="00DD65A2">
      <w:pPr>
        <w:autoSpaceDE w:val="0"/>
        <w:autoSpaceDN w:val="0"/>
        <w:adjustRightInd w:val="0"/>
        <w:rPr>
          <w:bCs/>
          <w:szCs w:val="24"/>
        </w:rPr>
      </w:pPr>
      <w:r>
        <w:rPr>
          <w:bCs/>
          <w:spacing w:val="-2"/>
          <w:szCs w:val="24"/>
        </w:rPr>
        <w:t xml:space="preserve">Pro posouzení dopadu produkčních nemocí telat na ekonomické výsledky výroby mléka jsou rozhodující ztráty celkem, resp. součet ztrát přímých a nepřímých v přepočtu na dojnici. </w:t>
      </w:r>
      <w:r>
        <w:rPr>
          <w:bCs/>
          <w:szCs w:val="24"/>
        </w:rPr>
        <w:t xml:space="preserve">Příkladem je </w:t>
      </w:r>
      <w:r w:rsidRPr="000C59F6">
        <w:rPr>
          <w:bCs/>
          <w:i/>
          <w:szCs w:val="24"/>
        </w:rPr>
        <w:t>Eilersem (2015)</w:t>
      </w:r>
      <w:r>
        <w:rPr>
          <w:bCs/>
          <w:szCs w:val="24"/>
        </w:rPr>
        <w:t xml:space="preserve"> jednoduše vypočítaná </w:t>
      </w:r>
      <w:r w:rsidRPr="00A71CBE">
        <w:rPr>
          <w:bCs/>
          <w:spacing w:val="-2"/>
          <w:szCs w:val="24"/>
        </w:rPr>
        <w:t>ekonomick</w:t>
      </w:r>
      <w:r>
        <w:rPr>
          <w:bCs/>
          <w:spacing w:val="-2"/>
          <w:szCs w:val="24"/>
        </w:rPr>
        <w:t>é</w:t>
      </w:r>
      <w:r w:rsidRPr="00A71CBE">
        <w:rPr>
          <w:bCs/>
          <w:spacing w:val="-2"/>
          <w:szCs w:val="24"/>
        </w:rPr>
        <w:t xml:space="preserve"> ztrát</w:t>
      </w:r>
      <w:r>
        <w:rPr>
          <w:bCs/>
          <w:spacing w:val="-2"/>
          <w:szCs w:val="24"/>
        </w:rPr>
        <w:t>a</w:t>
      </w:r>
      <w:r w:rsidRPr="00A71CBE">
        <w:rPr>
          <w:bCs/>
          <w:spacing w:val="-2"/>
          <w:szCs w:val="24"/>
        </w:rPr>
        <w:t xml:space="preserve"> za život krávy (19 750 Kč, tab. </w:t>
      </w:r>
      <w:r>
        <w:rPr>
          <w:bCs/>
          <w:spacing w:val="-2"/>
          <w:szCs w:val="24"/>
        </w:rPr>
        <w:t>11</w:t>
      </w:r>
      <w:r w:rsidRPr="00A71CBE">
        <w:rPr>
          <w:bCs/>
          <w:spacing w:val="-2"/>
          <w:szCs w:val="24"/>
        </w:rPr>
        <w:t>)</w:t>
      </w:r>
      <w:r>
        <w:rPr>
          <w:bCs/>
          <w:spacing w:val="-2"/>
          <w:szCs w:val="24"/>
        </w:rPr>
        <w:t xml:space="preserve"> způsobená onemocněním v období jejího odchovu</w:t>
      </w:r>
      <w:r>
        <w:rPr>
          <w:bCs/>
          <w:szCs w:val="24"/>
        </w:rPr>
        <w:t xml:space="preserve">. </w:t>
      </w:r>
      <w:r w:rsidRPr="000705C6">
        <w:rPr>
          <w:bCs/>
          <w:spacing w:val="-2"/>
          <w:szCs w:val="24"/>
        </w:rPr>
        <w:t xml:space="preserve">Ztráta na </w:t>
      </w:r>
      <w:r>
        <w:rPr>
          <w:bCs/>
          <w:spacing w:val="-2"/>
          <w:szCs w:val="24"/>
        </w:rPr>
        <w:t xml:space="preserve">každou </w:t>
      </w:r>
      <w:r w:rsidRPr="000705C6">
        <w:rPr>
          <w:bCs/>
          <w:spacing w:val="-2"/>
          <w:szCs w:val="24"/>
        </w:rPr>
        <w:t xml:space="preserve">dojnici stáda bude odpovídat počtu (podílu) dojnic, které </w:t>
      </w:r>
      <w:r>
        <w:rPr>
          <w:bCs/>
          <w:szCs w:val="24"/>
        </w:rPr>
        <w:t xml:space="preserve">„prodělaly“ </w:t>
      </w:r>
      <w:r w:rsidRPr="000705C6">
        <w:rPr>
          <w:bCs/>
          <w:spacing w:val="-2"/>
          <w:szCs w:val="24"/>
        </w:rPr>
        <w:t>přibližn</w:t>
      </w:r>
      <w:r>
        <w:rPr>
          <w:bCs/>
          <w:spacing w:val="-2"/>
          <w:szCs w:val="24"/>
        </w:rPr>
        <w:t>ě</w:t>
      </w:r>
      <w:r w:rsidRPr="000705C6">
        <w:rPr>
          <w:bCs/>
          <w:spacing w:val="-2"/>
          <w:szCs w:val="24"/>
        </w:rPr>
        <w:t xml:space="preserve"> stejn</w:t>
      </w:r>
      <w:r>
        <w:rPr>
          <w:bCs/>
          <w:spacing w:val="-2"/>
          <w:szCs w:val="24"/>
        </w:rPr>
        <w:t>ou chorobu</w:t>
      </w:r>
      <w:r>
        <w:rPr>
          <w:bCs/>
          <w:szCs w:val="24"/>
        </w:rPr>
        <w:t xml:space="preserve">. Např. při </w:t>
      </w:r>
      <w:r w:rsidRPr="007353DF">
        <w:rPr>
          <w:bCs/>
          <w:spacing w:val="-2"/>
          <w:szCs w:val="24"/>
        </w:rPr>
        <w:t>onemocnění 10 % telat lze ekonomickou ztrátu odhadnout na 1 975 Kč na každou dojnici</w:t>
      </w:r>
      <w:r>
        <w:rPr>
          <w:bCs/>
          <w:szCs w:val="24"/>
        </w:rPr>
        <w:t xml:space="preserve"> stáda. </w:t>
      </w:r>
    </w:p>
    <w:p w:rsidR="00DD65A2" w:rsidRDefault="00DD65A2" w:rsidP="00DD65A2">
      <w:pPr>
        <w:autoSpaceDE w:val="0"/>
        <w:autoSpaceDN w:val="0"/>
        <w:adjustRightInd w:val="0"/>
        <w:spacing w:line="120" w:lineRule="auto"/>
        <w:rPr>
          <w:b/>
          <w:bCs/>
          <w:szCs w:val="24"/>
        </w:rPr>
      </w:pPr>
    </w:p>
    <w:p w:rsidR="00DD65A2" w:rsidRPr="00640B4C" w:rsidRDefault="00DD65A2" w:rsidP="001D12F5">
      <w:pPr>
        <w:pStyle w:val="Nadpis3"/>
      </w:pPr>
      <w:r>
        <w:t>Tab. 11</w:t>
      </w:r>
      <w:r w:rsidRPr="00640B4C">
        <w:t> Ekonomick</w:t>
      </w:r>
      <w:r>
        <w:t>á</w:t>
      </w:r>
      <w:r w:rsidRPr="00640B4C">
        <w:t xml:space="preserve"> ztrát</w:t>
      </w:r>
      <w:r>
        <w:t>a</w:t>
      </w:r>
      <w:r w:rsidRPr="00640B4C">
        <w:t xml:space="preserve"> způsoben</w:t>
      </w:r>
      <w:r>
        <w:t>á</w:t>
      </w:r>
      <w:r w:rsidRPr="00640B4C">
        <w:t xml:space="preserve"> onemocněním telat</w:t>
      </w:r>
      <w:r>
        <w:t xml:space="preserve"> (na krávu)</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5252"/>
        <w:gridCol w:w="2687"/>
        <w:gridCol w:w="2255"/>
      </w:tblGrid>
      <w:tr w:rsidR="00DD65A2" w:rsidTr="001D1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DD65A2" w:rsidRPr="00BC45B1" w:rsidRDefault="00DD65A2" w:rsidP="001D12F5">
            <w:pPr>
              <w:autoSpaceDE w:val="0"/>
              <w:autoSpaceDN w:val="0"/>
              <w:adjustRightInd w:val="0"/>
              <w:spacing w:before="40" w:line="264" w:lineRule="auto"/>
              <w:jc w:val="center"/>
              <w:rPr>
                <w:b w:val="0"/>
              </w:rPr>
            </w:pPr>
            <w:r w:rsidRPr="00BC45B1">
              <w:rPr>
                <w:b w:val="0"/>
              </w:rPr>
              <w:t>Ukazatel</w:t>
            </w:r>
          </w:p>
        </w:tc>
        <w:tc>
          <w:tcPr>
            <w:tcW w:w="2424" w:type="pct"/>
            <w:gridSpan w:val="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DD65A2" w:rsidRPr="00852F96" w:rsidRDefault="00DD65A2" w:rsidP="001D12F5">
            <w:pPr>
              <w:autoSpaceDE w:val="0"/>
              <w:autoSpaceDN w:val="0"/>
              <w:adjustRightInd w:val="0"/>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852F96">
              <w:rPr>
                <w:b w:val="0"/>
              </w:rPr>
              <w:t>ztráta na krávu</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vMerge/>
            <w:tcBorders>
              <w:left w:val="none" w:sz="0" w:space="0" w:color="auto"/>
              <w:right w:val="none" w:sz="0" w:space="0" w:color="auto"/>
            </w:tcBorders>
            <w:shd w:val="clear" w:color="auto" w:fill="auto"/>
            <w:vAlign w:val="center"/>
          </w:tcPr>
          <w:p w:rsidR="00DD65A2" w:rsidRPr="00204624" w:rsidRDefault="00DD65A2" w:rsidP="001D12F5">
            <w:pPr>
              <w:autoSpaceDE w:val="0"/>
              <w:autoSpaceDN w:val="0"/>
              <w:adjustRightInd w:val="0"/>
              <w:spacing w:before="40" w:line="264" w:lineRule="auto"/>
              <w:jc w:val="center"/>
            </w:pPr>
          </w:p>
        </w:tc>
        <w:tc>
          <w:tcPr>
            <w:tcW w:w="1318" w:type="pct"/>
            <w:tcBorders>
              <w:left w:val="none" w:sz="0" w:space="0" w:color="auto"/>
              <w:right w:val="none" w:sz="0" w:space="0" w:color="auto"/>
            </w:tcBorders>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1D12F5">
              <w:t>Kč</w:t>
            </w:r>
          </w:p>
        </w:tc>
        <w:tc>
          <w:tcPr>
            <w:tcW w:w="1105" w:type="pct"/>
            <w:tcBorders>
              <w:left w:val="none" w:sz="0" w:space="0" w:color="auto"/>
              <w:right w:val="none" w:sz="0" w:space="0" w:color="auto"/>
            </w:tcBorders>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1D12F5">
              <w:t>%</w:t>
            </w:r>
          </w:p>
        </w:tc>
      </w:tr>
      <w:tr w:rsidR="00DD65A2" w:rsidTr="001D12F5">
        <w:tc>
          <w:tcPr>
            <w:cnfStyle w:val="001000000000" w:firstRow="0" w:lastRow="0" w:firstColumn="1" w:lastColumn="0" w:oddVBand="0" w:evenVBand="0" w:oddHBand="0" w:evenHBand="0" w:firstRowFirstColumn="0" w:firstRowLastColumn="0" w:lastRowFirstColumn="0" w:lastRowLastColumn="0"/>
            <w:tcW w:w="2576" w:type="pct"/>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left"/>
              <w:rPr>
                <w:b w:val="0"/>
                <w:vertAlign w:val="superscript"/>
              </w:rPr>
            </w:pPr>
            <w:r w:rsidRPr="001D12F5">
              <w:rPr>
                <w:b w:val="0"/>
              </w:rPr>
              <w:t>dvě středně těžká onemocnění telete</w:t>
            </w:r>
            <w:r w:rsidRPr="001D12F5">
              <w:rPr>
                <w:b w:val="0"/>
                <w:vertAlign w:val="superscript"/>
              </w:rPr>
              <w:t>1)</w:t>
            </w:r>
          </w:p>
        </w:tc>
        <w:tc>
          <w:tcPr>
            <w:tcW w:w="1318"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640B4C">
              <w:rPr>
                <w:bCs/>
                <w:color w:val="000000"/>
              </w:rPr>
              <w:t>5</w:t>
            </w:r>
            <w:r>
              <w:rPr>
                <w:bCs/>
                <w:color w:val="000000"/>
              </w:rPr>
              <w:t xml:space="preserve"> </w:t>
            </w:r>
            <w:r w:rsidRPr="00640B4C">
              <w:rPr>
                <w:bCs/>
                <w:color w:val="000000"/>
              </w:rPr>
              <w:t>200</w:t>
            </w:r>
          </w:p>
        </w:tc>
        <w:tc>
          <w:tcPr>
            <w:tcW w:w="1105"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640B4C">
              <w:rPr>
                <w:bCs/>
                <w:color w:val="000000"/>
              </w:rPr>
              <w:t>26</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Borders>
              <w:left w:val="none" w:sz="0" w:space="0" w:color="auto"/>
              <w:right w:val="none" w:sz="0" w:space="0" w:color="auto"/>
            </w:tcBorders>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left"/>
              <w:rPr>
                <w:b w:val="0"/>
                <w:vertAlign w:val="superscript"/>
              </w:rPr>
            </w:pPr>
            <w:r w:rsidRPr="001D12F5">
              <w:rPr>
                <w:b w:val="0"/>
              </w:rPr>
              <w:t>věk při prvním otelení vyšší o 1 měsíc</w:t>
            </w:r>
            <w:r w:rsidRPr="001D12F5">
              <w:rPr>
                <w:b w:val="0"/>
                <w:vertAlign w:val="superscript"/>
              </w:rPr>
              <w:t>1)</w:t>
            </w:r>
          </w:p>
        </w:tc>
        <w:tc>
          <w:tcPr>
            <w:tcW w:w="1318" w:type="pct"/>
            <w:tcBorders>
              <w:left w:val="none" w:sz="0" w:space="0" w:color="auto"/>
              <w:right w:val="none" w:sz="0" w:space="0" w:color="auto"/>
            </w:tcBorders>
            <w:shd w:val="clear" w:color="auto" w:fill="auto"/>
            <w:vAlign w:val="center"/>
          </w:tcPr>
          <w:p w:rsidR="00DD65A2" w:rsidRPr="00640B4C" w:rsidRDefault="00DD65A2" w:rsidP="001D12F5">
            <w:pPr>
              <w:spacing w:before="40" w:line="264"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640B4C">
              <w:rPr>
                <w:bCs/>
                <w:color w:val="000000"/>
              </w:rPr>
              <w:t>1</w:t>
            </w:r>
            <w:r>
              <w:rPr>
                <w:bCs/>
                <w:color w:val="000000"/>
              </w:rPr>
              <w:t xml:space="preserve"> </w:t>
            </w:r>
            <w:r w:rsidRPr="00640B4C">
              <w:rPr>
                <w:bCs/>
                <w:color w:val="000000"/>
              </w:rPr>
              <w:t>5</w:t>
            </w:r>
            <w:r>
              <w:rPr>
                <w:bCs/>
                <w:color w:val="000000"/>
              </w:rPr>
              <w:t>5</w:t>
            </w:r>
            <w:r w:rsidRPr="00640B4C">
              <w:rPr>
                <w:bCs/>
                <w:color w:val="000000"/>
              </w:rPr>
              <w:t>0</w:t>
            </w:r>
          </w:p>
        </w:tc>
        <w:tc>
          <w:tcPr>
            <w:tcW w:w="1105" w:type="pct"/>
            <w:tcBorders>
              <w:left w:val="none" w:sz="0" w:space="0" w:color="auto"/>
              <w:right w:val="none" w:sz="0" w:space="0" w:color="auto"/>
            </w:tcBorders>
            <w:shd w:val="clear" w:color="auto" w:fill="auto"/>
            <w:vAlign w:val="center"/>
          </w:tcPr>
          <w:p w:rsidR="00DD65A2" w:rsidRPr="00640B4C" w:rsidRDefault="00DD65A2" w:rsidP="001D12F5">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640B4C">
              <w:rPr>
                <w:color w:val="000000"/>
              </w:rPr>
              <w:t>8</w:t>
            </w:r>
          </w:p>
        </w:tc>
      </w:tr>
      <w:tr w:rsidR="00DD65A2" w:rsidTr="001D12F5">
        <w:tc>
          <w:tcPr>
            <w:cnfStyle w:val="001000000000" w:firstRow="0" w:lastRow="0" w:firstColumn="1" w:lastColumn="0" w:oddVBand="0" w:evenVBand="0" w:oddHBand="0" w:evenHBand="0" w:firstRowFirstColumn="0" w:firstRowLastColumn="0" w:lastRowFirstColumn="0" w:lastRowLastColumn="0"/>
            <w:tcW w:w="2576" w:type="pct"/>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left"/>
              <w:rPr>
                <w:b w:val="0"/>
                <w:vertAlign w:val="superscript"/>
              </w:rPr>
            </w:pPr>
            <w:r w:rsidRPr="001D12F5">
              <w:rPr>
                <w:b w:val="0"/>
              </w:rPr>
              <w:t>produkční věk krávy kratší o 9 měsíců</w:t>
            </w:r>
            <w:r w:rsidRPr="001D12F5">
              <w:rPr>
                <w:b w:val="0"/>
                <w:vertAlign w:val="superscript"/>
              </w:rPr>
              <w:t>2)</w:t>
            </w:r>
          </w:p>
        </w:tc>
        <w:tc>
          <w:tcPr>
            <w:tcW w:w="1318"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640B4C">
              <w:rPr>
                <w:bCs/>
                <w:color w:val="000000"/>
              </w:rPr>
              <w:t>5</w:t>
            </w:r>
            <w:r>
              <w:rPr>
                <w:bCs/>
                <w:color w:val="000000"/>
              </w:rPr>
              <w:t xml:space="preserve"> </w:t>
            </w:r>
            <w:r w:rsidRPr="00640B4C">
              <w:rPr>
                <w:bCs/>
                <w:color w:val="000000"/>
              </w:rPr>
              <w:t>200</w:t>
            </w:r>
          </w:p>
        </w:tc>
        <w:tc>
          <w:tcPr>
            <w:tcW w:w="1105"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640B4C">
              <w:rPr>
                <w:color w:val="000000"/>
              </w:rPr>
              <w:t>26</w:t>
            </w:r>
          </w:p>
        </w:tc>
      </w:tr>
      <w:tr w:rsidR="00DD65A2" w:rsidTr="001D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tcBorders>
              <w:left w:val="none" w:sz="0" w:space="0" w:color="auto"/>
              <w:right w:val="none" w:sz="0" w:space="0" w:color="auto"/>
            </w:tcBorders>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left"/>
              <w:rPr>
                <w:b w:val="0"/>
              </w:rPr>
            </w:pPr>
            <w:r w:rsidRPr="001D12F5">
              <w:rPr>
                <w:b w:val="0"/>
              </w:rPr>
              <w:t>celoživotní produkce nižší o 2 000 kg</w:t>
            </w:r>
            <w:r w:rsidRPr="001D12F5">
              <w:rPr>
                <w:b w:val="0"/>
                <w:vertAlign w:val="superscript"/>
              </w:rPr>
              <w:t>3)</w:t>
            </w:r>
          </w:p>
        </w:tc>
        <w:tc>
          <w:tcPr>
            <w:tcW w:w="1318" w:type="pct"/>
            <w:tcBorders>
              <w:left w:val="none" w:sz="0" w:space="0" w:color="auto"/>
              <w:right w:val="none" w:sz="0" w:space="0" w:color="auto"/>
            </w:tcBorders>
            <w:shd w:val="clear" w:color="auto" w:fill="auto"/>
            <w:vAlign w:val="center"/>
          </w:tcPr>
          <w:p w:rsidR="00DD65A2" w:rsidRPr="00640B4C" w:rsidRDefault="00DD65A2" w:rsidP="001D12F5">
            <w:pPr>
              <w:spacing w:before="40" w:line="264"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640B4C">
              <w:rPr>
                <w:bCs/>
                <w:color w:val="000000"/>
              </w:rPr>
              <w:t>7</w:t>
            </w:r>
            <w:r>
              <w:rPr>
                <w:bCs/>
                <w:color w:val="000000"/>
              </w:rPr>
              <w:t xml:space="preserve"> </w:t>
            </w:r>
            <w:r w:rsidRPr="00640B4C">
              <w:rPr>
                <w:bCs/>
                <w:color w:val="000000"/>
              </w:rPr>
              <w:t>800</w:t>
            </w:r>
          </w:p>
        </w:tc>
        <w:tc>
          <w:tcPr>
            <w:tcW w:w="1105" w:type="pct"/>
            <w:tcBorders>
              <w:left w:val="none" w:sz="0" w:space="0" w:color="auto"/>
              <w:right w:val="none" w:sz="0" w:space="0" w:color="auto"/>
            </w:tcBorders>
            <w:shd w:val="clear" w:color="auto" w:fill="auto"/>
            <w:vAlign w:val="center"/>
          </w:tcPr>
          <w:p w:rsidR="00DD65A2" w:rsidRPr="00640B4C" w:rsidRDefault="00DD65A2" w:rsidP="001D12F5">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640B4C">
              <w:rPr>
                <w:color w:val="000000"/>
              </w:rPr>
              <w:t>40</w:t>
            </w:r>
          </w:p>
        </w:tc>
      </w:tr>
      <w:tr w:rsidR="00DD65A2" w:rsidTr="001D12F5">
        <w:tc>
          <w:tcPr>
            <w:cnfStyle w:val="001000000000" w:firstRow="0" w:lastRow="0" w:firstColumn="1" w:lastColumn="0" w:oddVBand="0" w:evenVBand="0" w:oddHBand="0" w:evenHBand="0" w:firstRowFirstColumn="0" w:firstRowLastColumn="0" w:lastRowFirstColumn="0" w:lastRowLastColumn="0"/>
            <w:tcW w:w="2576" w:type="pct"/>
            <w:shd w:val="clear" w:color="auto" w:fill="F2F2F2" w:themeFill="background1" w:themeFillShade="F2"/>
            <w:vAlign w:val="center"/>
          </w:tcPr>
          <w:p w:rsidR="00DD65A2" w:rsidRPr="001D12F5" w:rsidRDefault="00DD65A2" w:rsidP="001D12F5">
            <w:pPr>
              <w:autoSpaceDE w:val="0"/>
              <w:autoSpaceDN w:val="0"/>
              <w:adjustRightInd w:val="0"/>
              <w:spacing w:before="40" w:line="264" w:lineRule="auto"/>
              <w:jc w:val="left"/>
              <w:rPr>
                <w:b w:val="0"/>
              </w:rPr>
            </w:pPr>
            <w:r w:rsidRPr="001D12F5">
              <w:rPr>
                <w:b w:val="0"/>
              </w:rPr>
              <w:t>ztráta na krávu celkem</w:t>
            </w:r>
          </w:p>
        </w:tc>
        <w:tc>
          <w:tcPr>
            <w:tcW w:w="1318"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640B4C">
              <w:rPr>
                <w:bCs/>
                <w:color w:val="000000"/>
              </w:rPr>
              <w:t>19</w:t>
            </w:r>
            <w:r>
              <w:rPr>
                <w:bCs/>
                <w:color w:val="000000"/>
              </w:rPr>
              <w:t xml:space="preserve"> 75</w:t>
            </w:r>
            <w:r w:rsidRPr="00640B4C">
              <w:rPr>
                <w:bCs/>
                <w:color w:val="000000"/>
              </w:rPr>
              <w:t>0</w:t>
            </w:r>
          </w:p>
        </w:tc>
        <w:tc>
          <w:tcPr>
            <w:tcW w:w="1105" w:type="pct"/>
            <w:shd w:val="clear" w:color="auto" w:fill="auto"/>
            <w:vAlign w:val="center"/>
          </w:tcPr>
          <w:p w:rsidR="00DD65A2" w:rsidRPr="00640B4C" w:rsidRDefault="00DD65A2" w:rsidP="001D12F5">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640B4C">
              <w:rPr>
                <w:color w:val="000000"/>
              </w:rPr>
              <w:t>100</w:t>
            </w:r>
          </w:p>
        </w:tc>
      </w:tr>
    </w:tbl>
    <w:p w:rsidR="00DD65A2" w:rsidRPr="001D12F5" w:rsidRDefault="00DD65A2" w:rsidP="001D12F5">
      <w:pPr>
        <w:rPr>
          <w:i/>
          <w:sz w:val="18"/>
          <w:szCs w:val="18"/>
        </w:rPr>
      </w:pPr>
      <w:r w:rsidRPr="001D12F5">
        <w:rPr>
          <w:i/>
          <w:sz w:val="18"/>
          <w:szCs w:val="18"/>
        </w:rPr>
        <w:t>Pramen: Eilers (2015).</w:t>
      </w:r>
    </w:p>
    <w:p w:rsidR="00DD65A2" w:rsidRPr="001D12F5" w:rsidRDefault="00DD65A2" w:rsidP="001D12F5">
      <w:pPr>
        <w:spacing w:before="0"/>
        <w:rPr>
          <w:i/>
          <w:sz w:val="18"/>
          <w:szCs w:val="18"/>
        </w:rPr>
      </w:pPr>
      <w:r w:rsidRPr="001D12F5">
        <w:rPr>
          <w:i/>
          <w:sz w:val="18"/>
          <w:szCs w:val="18"/>
        </w:rPr>
        <w:t>1) vyšší náklady na odchov;</w:t>
      </w:r>
    </w:p>
    <w:p w:rsidR="00DD65A2" w:rsidRPr="001D12F5" w:rsidRDefault="00DD65A2" w:rsidP="001D12F5">
      <w:pPr>
        <w:spacing w:before="0"/>
        <w:rPr>
          <w:i/>
          <w:sz w:val="18"/>
          <w:szCs w:val="18"/>
        </w:rPr>
      </w:pPr>
      <w:r w:rsidRPr="001D12F5">
        <w:rPr>
          <w:i/>
          <w:sz w:val="18"/>
          <w:szCs w:val="18"/>
        </w:rPr>
        <w:t>2) a s ním spojená vyšší obměna stáda krav;</w:t>
      </w:r>
    </w:p>
    <w:p w:rsidR="00DD65A2" w:rsidRPr="001D12F5" w:rsidRDefault="00DD65A2" w:rsidP="001D12F5">
      <w:pPr>
        <w:spacing w:before="0"/>
        <w:rPr>
          <w:i/>
          <w:sz w:val="18"/>
          <w:szCs w:val="18"/>
        </w:rPr>
      </w:pPr>
      <w:r w:rsidRPr="001D12F5">
        <w:rPr>
          <w:i/>
          <w:sz w:val="18"/>
          <w:szCs w:val="18"/>
        </w:rPr>
        <w:t>3) mléka na krávu.</w:t>
      </w:r>
    </w:p>
    <w:p w:rsidR="00DD65A2" w:rsidRDefault="00DD65A2" w:rsidP="00DD65A2">
      <w:pPr>
        <w:spacing w:line="120" w:lineRule="auto"/>
        <w:rPr>
          <w:b/>
          <w:i/>
        </w:rPr>
      </w:pPr>
    </w:p>
    <w:p w:rsidR="00DD65A2" w:rsidRPr="006A3FC2" w:rsidRDefault="00DD65A2" w:rsidP="00DD65A2">
      <w:pPr>
        <w:autoSpaceDE w:val="0"/>
        <w:autoSpaceDN w:val="0"/>
        <w:adjustRightInd w:val="0"/>
        <w:rPr>
          <w:bCs/>
          <w:szCs w:val="24"/>
        </w:rPr>
      </w:pPr>
      <w:r w:rsidRPr="00652FD8">
        <w:rPr>
          <w:bCs/>
          <w:spacing w:val="-2"/>
          <w:szCs w:val="24"/>
        </w:rPr>
        <w:t xml:space="preserve">    </w:t>
      </w:r>
      <w:r>
        <w:rPr>
          <w:bCs/>
          <w:spacing w:val="-2"/>
          <w:szCs w:val="24"/>
        </w:rPr>
        <w:t>Výsledky m</w:t>
      </w:r>
      <w:r w:rsidRPr="00652FD8">
        <w:rPr>
          <w:bCs/>
          <w:spacing w:val="-2"/>
          <w:szCs w:val="24"/>
        </w:rPr>
        <w:t>odelov</w:t>
      </w:r>
      <w:r>
        <w:rPr>
          <w:bCs/>
          <w:spacing w:val="-2"/>
          <w:szCs w:val="24"/>
        </w:rPr>
        <w:t>ého</w:t>
      </w:r>
      <w:r w:rsidRPr="00652FD8">
        <w:rPr>
          <w:bCs/>
          <w:spacing w:val="-2"/>
          <w:szCs w:val="24"/>
        </w:rPr>
        <w:t xml:space="preserve"> propoč</w:t>
      </w:r>
      <w:r>
        <w:rPr>
          <w:bCs/>
          <w:spacing w:val="-2"/>
          <w:szCs w:val="24"/>
        </w:rPr>
        <w:t>tu</w:t>
      </w:r>
      <w:r w:rsidRPr="00652FD8">
        <w:rPr>
          <w:bCs/>
          <w:spacing w:val="-2"/>
          <w:szCs w:val="24"/>
        </w:rPr>
        <w:t xml:space="preserve"> ztrát způsobených produkčními chorobami telat při různém podílu</w:t>
      </w:r>
      <w:r>
        <w:rPr>
          <w:bCs/>
          <w:szCs w:val="24"/>
        </w:rPr>
        <w:t xml:space="preserve"> ztrát a</w:t>
      </w:r>
      <w:r w:rsidRPr="004C3C56">
        <w:rPr>
          <w:bCs/>
          <w:spacing w:val="-2"/>
          <w:szCs w:val="24"/>
        </w:rPr>
        <w:t xml:space="preserve"> nemocných telat obsahuje tab. </w:t>
      </w:r>
      <w:r>
        <w:rPr>
          <w:bCs/>
          <w:spacing w:val="-2"/>
          <w:szCs w:val="24"/>
        </w:rPr>
        <w:t>12</w:t>
      </w:r>
      <w:r w:rsidRPr="004C3C56">
        <w:rPr>
          <w:bCs/>
          <w:spacing w:val="-2"/>
          <w:szCs w:val="24"/>
        </w:rPr>
        <w:t xml:space="preserve">. </w:t>
      </w:r>
      <w:r>
        <w:rPr>
          <w:bCs/>
          <w:spacing w:val="-2"/>
          <w:szCs w:val="24"/>
        </w:rPr>
        <w:t xml:space="preserve">Je z ní zřejmé, že při kombinaci uvažovaných ukazatelů </w:t>
      </w:r>
      <w:r>
        <w:rPr>
          <w:bCs/>
          <w:szCs w:val="24"/>
        </w:rPr>
        <w:t xml:space="preserve">kolísá ztráta v přepočtu na dojnici stáda od 1 275 Kč (ztráty 5 % a podíl nemocných telat 10 %) do 6 725 Kč (35 a 50 %). Z výsledků </w:t>
      </w:r>
      <w:r w:rsidRPr="001B07DD">
        <w:rPr>
          <w:bCs/>
          <w:i/>
          <w:szCs w:val="24"/>
        </w:rPr>
        <w:lastRenderedPageBreak/>
        <w:t>Lührmann</w:t>
      </w:r>
      <w:r>
        <w:rPr>
          <w:bCs/>
          <w:i/>
          <w:szCs w:val="24"/>
        </w:rPr>
        <w:t>a (2009)</w:t>
      </w:r>
      <w:r>
        <w:rPr>
          <w:bCs/>
          <w:szCs w:val="24"/>
        </w:rPr>
        <w:t xml:space="preserve"> lze odhadnout, </w:t>
      </w:r>
      <w:r w:rsidRPr="006D6E81">
        <w:rPr>
          <w:bCs/>
          <w:spacing w:val="2"/>
          <w:szCs w:val="24"/>
        </w:rPr>
        <w:t xml:space="preserve">že ztráty </w:t>
      </w:r>
      <w:r w:rsidRPr="00CD779F">
        <w:rPr>
          <w:bCs/>
          <w:spacing w:val="-2"/>
          <w:szCs w:val="24"/>
        </w:rPr>
        <w:t>způsobené nemocí telete mohou být při lehkém, resp. těžkém průběhu nemoci až o 50 %</w:t>
      </w:r>
      <w:r w:rsidRPr="00B4746F">
        <w:rPr>
          <w:bCs/>
          <w:spacing w:val="-2"/>
          <w:szCs w:val="24"/>
        </w:rPr>
        <w:t xml:space="preserve"> nižší, resp. vyšší</w:t>
      </w:r>
      <w:r>
        <w:rPr>
          <w:bCs/>
          <w:spacing w:val="-2"/>
          <w:szCs w:val="24"/>
        </w:rPr>
        <w:t xml:space="preserve"> než průměr</w:t>
      </w:r>
      <w:r w:rsidRPr="00B4746F">
        <w:rPr>
          <w:bCs/>
          <w:spacing w:val="-2"/>
          <w:szCs w:val="24"/>
        </w:rPr>
        <w:t>. Při ztrátách telat 5</w:t>
      </w:r>
      <w:r>
        <w:rPr>
          <w:bCs/>
          <w:szCs w:val="24"/>
        </w:rPr>
        <w:t xml:space="preserve"> % a onemocnění 10 % telat by při lehkém a těžkém průběhu nemoci celková ztráta kolísala přibližně mezi 650 a 1 900 Kč, při ztrátách 35 % a onemocnění 50 % pak mezi 3 350 a 10 100 Kč na každou dojnici stáda. </w:t>
      </w:r>
    </w:p>
    <w:p w:rsidR="00DD65A2" w:rsidRDefault="00DD65A2" w:rsidP="00DD65A2">
      <w:pPr>
        <w:autoSpaceDE w:val="0"/>
        <w:autoSpaceDN w:val="0"/>
        <w:adjustRightInd w:val="0"/>
        <w:spacing w:line="120" w:lineRule="auto"/>
        <w:rPr>
          <w:b/>
          <w:bCs/>
          <w:szCs w:val="24"/>
        </w:rPr>
      </w:pPr>
    </w:p>
    <w:p w:rsidR="00DD65A2" w:rsidRPr="00DC3580" w:rsidRDefault="00DD65A2" w:rsidP="002C5958">
      <w:pPr>
        <w:pStyle w:val="Nadpis3"/>
      </w:pPr>
      <w:r w:rsidRPr="00DC3580">
        <w:t xml:space="preserve">Tab. </w:t>
      </w:r>
      <w:r>
        <w:t>12</w:t>
      </w:r>
      <w:r w:rsidRPr="00DC3580">
        <w:t xml:space="preserve"> Produkční nemoci telat a ekonomické ztráty </w:t>
      </w:r>
      <w:r>
        <w:t xml:space="preserve">na krávu </w:t>
      </w:r>
      <w:r w:rsidRPr="00DC3580">
        <w:t>(modelový výpočet)</w:t>
      </w:r>
    </w:p>
    <w:tbl>
      <w:tblPr>
        <w:tblStyle w:val="Svtlstnovnzvraznn1"/>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931"/>
        <w:gridCol w:w="1629"/>
        <w:gridCol w:w="1631"/>
        <w:gridCol w:w="1631"/>
        <w:gridCol w:w="1633"/>
        <w:gridCol w:w="1637"/>
      </w:tblGrid>
      <w:tr w:rsidR="00DD65A2" w:rsidRPr="002C5958" w:rsidTr="002C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vMerge w:val="restart"/>
            <w:tcBorders>
              <w:top w:val="none" w:sz="0" w:space="0" w:color="auto"/>
              <w:left w:val="none" w:sz="0" w:space="0" w:color="auto"/>
              <w:bottom w:val="none" w:sz="0" w:space="0" w:color="auto"/>
              <w:right w:val="none" w:sz="0" w:space="0" w:color="auto"/>
            </w:tcBorders>
            <w:shd w:val="clear" w:color="auto" w:fill="auto"/>
            <w:tcMar>
              <w:left w:w="57" w:type="dxa"/>
              <w:right w:w="57" w:type="dxa"/>
            </w:tcMar>
            <w:vAlign w:val="center"/>
          </w:tcPr>
          <w:p w:rsidR="00DD65A2" w:rsidRPr="002C5958" w:rsidRDefault="002C5958" w:rsidP="002C5958">
            <w:pPr>
              <w:spacing w:before="40" w:line="264" w:lineRule="auto"/>
              <w:jc w:val="center"/>
              <w:rPr>
                <w:b w:val="0"/>
              </w:rPr>
            </w:pPr>
            <w:r w:rsidRPr="002C5958">
              <w:rPr>
                <w:b w:val="0"/>
              </w:rPr>
              <w:t>Z</w:t>
            </w:r>
            <w:r w:rsidR="00DD65A2" w:rsidRPr="002C5958">
              <w:rPr>
                <w:b w:val="0"/>
              </w:rPr>
              <w:t>tráty</w:t>
            </w:r>
            <w:r>
              <w:rPr>
                <w:b w:val="0"/>
              </w:rPr>
              <w:t xml:space="preserve"> </w:t>
            </w:r>
            <w:r w:rsidR="00DD65A2" w:rsidRPr="002C5958">
              <w:rPr>
                <w:b w:val="0"/>
              </w:rPr>
              <w:t>telat</w:t>
            </w:r>
            <w:r w:rsidR="00DD65A2" w:rsidRPr="002C5958">
              <w:rPr>
                <w:b w:val="0"/>
                <w:vertAlign w:val="superscript"/>
              </w:rPr>
              <w:t>1)</w:t>
            </w:r>
            <w:r w:rsidR="00DD65A2" w:rsidRPr="002C5958">
              <w:rPr>
                <w:b w:val="0"/>
              </w:rPr>
              <w:t xml:space="preserve"> </w:t>
            </w:r>
            <w:r>
              <w:rPr>
                <w:b w:val="0"/>
              </w:rPr>
              <w:br/>
            </w:r>
            <w:r w:rsidR="00DD65A2" w:rsidRPr="002C5958">
              <w:rPr>
                <w:b w:val="0"/>
              </w:rPr>
              <w:t>(%)</w:t>
            </w:r>
          </w:p>
        </w:tc>
        <w:tc>
          <w:tcPr>
            <w:tcW w:w="4043" w:type="pct"/>
            <w:gridSpan w:val="5"/>
            <w:tcBorders>
              <w:top w:val="none" w:sz="0" w:space="0" w:color="auto"/>
              <w:left w:val="none" w:sz="0" w:space="0" w:color="auto"/>
              <w:bottom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2C5958">
              <w:rPr>
                <w:b w:val="0"/>
              </w:rPr>
              <w:t>onemocnění telat</w:t>
            </w:r>
            <w:r w:rsidRPr="002C5958">
              <w:rPr>
                <w:b w:val="0"/>
                <w:vertAlign w:val="superscript"/>
              </w:rPr>
              <w:t>2)</w:t>
            </w:r>
            <w:r w:rsidRPr="002C5958">
              <w:rPr>
                <w:b w:val="0"/>
              </w:rPr>
              <w:t xml:space="preserve"> (%)</w:t>
            </w:r>
          </w:p>
        </w:tc>
      </w:tr>
      <w:tr w:rsidR="00DD65A2" w:rsidRPr="002C5958" w:rsidTr="002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vMerge/>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rPr>
                <w:b w:val="0"/>
              </w:rPr>
            </w:pPr>
          </w:p>
        </w:tc>
        <w:tc>
          <w:tcPr>
            <w:tcW w:w="807"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2C5958">
              <w:t>10</w:t>
            </w:r>
          </w:p>
        </w:tc>
        <w:tc>
          <w:tcPr>
            <w:tcW w:w="808"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2C5958">
              <w:t>20</w:t>
            </w:r>
          </w:p>
        </w:tc>
        <w:tc>
          <w:tcPr>
            <w:tcW w:w="808"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2C5958">
              <w:t>30</w:t>
            </w:r>
          </w:p>
        </w:tc>
        <w:tc>
          <w:tcPr>
            <w:tcW w:w="809"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2C5958">
              <w:t>40</w:t>
            </w:r>
          </w:p>
        </w:tc>
        <w:tc>
          <w:tcPr>
            <w:tcW w:w="810"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pPr>
            <w:r w:rsidRPr="002C5958">
              <w:t>50</w:t>
            </w:r>
          </w:p>
        </w:tc>
      </w:tr>
      <w:tr w:rsidR="00DD65A2" w:rsidRPr="002C5958" w:rsidTr="002C5958">
        <w:tc>
          <w:tcPr>
            <w:cnfStyle w:val="001000000000" w:firstRow="0" w:lastRow="0" w:firstColumn="1" w:lastColumn="0" w:oddVBand="0" w:evenVBand="0" w:oddHBand="0" w:evenHBand="0" w:firstRowFirstColumn="0" w:firstRowLastColumn="0" w:lastRowFirstColumn="0" w:lastRowLastColumn="0"/>
            <w:tcW w:w="957" w:type="pct"/>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5</w:t>
            </w:r>
          </w:p>
        </w:tc>
        <w:tc>
          <w:tcPr>
            <w:tcW w:w="807"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1 275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2 375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3 475</w:t>
            </w:r>
          </w:p>
        </w:tc>
        <w:tc>
          <w:tcPr>
            <w:tcW w:w="809"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4 575</w:t>
            </w:r>
          </w:p>
        </w:tc>
        <w:tc>
          <w:tcPr>
            <w:tcW w:w="810"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5 675</w:t>
            </w:r>
          </w:p>
        </w:tc>
      </w:tr>
      <w:tr w:rsidR="00DD65A2" w:rsidRPr="002C5958" w:rsidTr="002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10</w:t>
            </w:r>
          </w:p>
        </w:tc>
        <w:tc>
          <w:tcPr>
            <w:tcW w:w="807"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1 450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2 550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3 650</w:t>
            </w:r>
          </w:p>
        </w:tc>
        <w:tc>
          <w:tcPr>
            <w:tcW w:w="809"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4 750</w:t>
            </w:r>
          </w:p>
        </w:tc>
        <w:tc>
          <w:tcPr>
            <w:tcW w:w="810"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5 850</w:t>
            </w:r>
          </w:p>
        </w:tc>
      </w:tr>
      <w:tr w:rsidR="00DD65A2" w:rsidRPr="002C5958" w:rsidTr="002C5958">
        <w:tc>
          <w:tcPr>
            <w:cnfStyle w:val="001000000000" w:firstRow="0" w:lastRow="0" w:firstColumn="1" w:lastColumn="0" w:oddVBand="0" w:evenVBand="0" w:oddHBand="0" w:evenHBand="0" w:firstRowFirstColumn="0" w:firstRowLastColumn="0" w:lastRowFirstColumn="0" w:lastRowLastColumn="0"/>
            <w:tcW w:w="957" w:type="pct"/>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15</w:t>
            </w:r>
          </w:p>
        </w:tc>
        <w:tc>
          <w:tcPr>
            <w:tcW w:w="807"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1 625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2 725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3 825</w:t>
            </w:r>
          </w:p>
        </w:tc>
        <w:tc>
          <w:tcPr>
            <w:tcW w:w="809"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4 925</w:t>
            </w:r>
          </w:p>
        </w:tc>
        <w:tc>
          <w:tcPr>
            <w:tcW w:w="810"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6 025</w:t>
            </w:r>
          </w:p>
        </w:tc>
      </w:tr>
      <w:tr w:rsidR="00DD65A2" w:rsidRPr="002C5958" w:rsidTr="002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20</w:t>
            </w:r>
          </w:p>
        </w:tc>
        <w:tc>
          <w:tcPr>
            <w:tcW w:w="807"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1 800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2 900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4 000</w:t>
            </w:r>
          </w:p>
        </w:tc>
        <w:tc>
          <w:tcPr>
            <w:tcW w:w="809"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5 100</w:t>
            </w:r>
          </w:p>
        </w:tc>
        <w:tc>
          <w:tcPr>
            <w:tcW w:w="810"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6 200</w:t>
            </w:r>
          </w:p>
        </w:tc>
      </w:tr>
      <w:tr w:rsidR="00DD65A2" w:rsidRPr="002C5958" w:rsidTr="002C5958">
        <w:tc>
          <w:tcPr>
            <w:cnfStyle w:val="001000000000" w:firstRow="0" w:lastRow="0" w:firstColumn="1" w:lastColumn="0" w:oddVBand="0" w:evenVBand="0" w:oddHBand="0" w:evenHBand="0" w:firstRowFirstColumn="0" w:firstRowLastColumn="0" w:lastRowFirstColumn="0" w:lastRowLastColumn="0"/>
            <w:tcW w:w="957" w:type="pct"/>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25</w:t>
            </w:r>
          </w:p>
        </w:tc>
        <w:tc>
          <w:tcPr>
            <w:tcW w:w="807"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1 975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3 075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4 175</w:t>
            </w:r>
          </w:p>
        </w:tc>
        <w:tc>
          <w:tcPr>
            <w:tcW w:w="809"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5 275</w:t>
            </w:r>
          </w:p>
        </w:tc>
        <w:tc>
          <w:tcPr>
            <w:tcW w:w="810"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6 375</w:t>
            </w:r>
          </w:p>
        </w:tc>
      </w:tr>
      <w:tr w:rsidR="00DD65A2" w:rsidRPr="002C5958" w:rsidTr="002C5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Borders>
              <w:left w:val="none" w:sz="0" w:space="0" w:color="auto"/>
              <w:right w:val="none" w:sz="0" w:space="0" w:color="auto"/>
            </w:tcBorders>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30</w:t>
            </w:r>
          </w:p>
        </w:tc>
        <w:tc>
          <w:tcPr>
            <w:tcW w:w="807"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2 150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3 250</w:t>
            </w:r>
          </w:p>
        </w:tc>
        <w:tc>
          <w:tcPr>
            <w:tcW w:w="808"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4 350</w:t>
            </w:r>
          </w:p>
        </w:tc>
        <w:tc>
          <w:tcPr>
            <w:tcW w:w="809"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5 450</w:t>
            </w:r>
          </w:p>
        </w:tc>
        <w:tc>
          <w:tcPr>
            <w:tcW w:w="810" w:type="pct"/>
            <w:tcBorders>
              <w:left w:val="none" w:sz="0" w:space="0" w:color="auto"/>
              <w:right w:val="none" w:sz="0" w:space="0" w:color="auto"/>
            </w:tcBorders>
            <w:shd w:val="clear" w:color="auto" w:fill="auto"/>
            <w:tcMar>
              <w:left w:w="57" w:type="dxa"/>
              <w:right w:w="57" w:type="dxa"/>
            </w:tcMar>
            <w:vAlign w:val="center"/>
          </w:tcPr>
          <w:p w:rsidR="00DD65A2" w:rsidRPr="002C5958" w:rsidRDefault="00DD65A2" w:rsidP="002C5958">
            <w:pPr>
              <w:spacing w:before="40" w:line="264"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C5958">
              <w:rPr>
                <w:color w:val="000000"/>
              </w:rPr>
              <w:t>6 550</w:t>
            </w:r>
          </w:p>
        </w:tc>
      </w:tr>
      <w:tr w:rsidR="00DD65A2" w:rsidRPr="002C5958" w:rsidTr="002C5958">
        <w:tc>
          <w:tcPr>
            <w:cnfStyle w:val="001000000000" w:firstRow="0" w:lastRow="0" w:firstColumn="1" w:lastColumn="0" w:oddVBand="0" w:evenVBand="0" w:oddHBand="0" w:evenHBand="0" w:firstRowFirstColumn="0" w:firstRowLastColumn="0" w:lastRowFirstColumn="0" w:lastRowLastColumn="0"/>
            <w:tcW w:w="957" w:type="pct"/>
            <w:shd w:val="clear" w:color="auto" w:fill="F2F2F2" w:themeFill="background1" w:themeFillShade="F2"/>
            <w:tcMar>
              <w:left w:w="57" w:type="dxa"/>
              <w:right w:w="57" w:type="dxa"/>
            </w:tcMar>
            <w:vAlign w:val="center"/>
          </w:tcPr>
          <w:p w:rsidR="00DD65A2" w:rsidRPr="002C5958" w:rsidRDefault="00DD65A2" w:rsidP="002C5958">
            <w:pPr>
              <w:spacing w:before="40" w:line="264" w:lineRule="auto"/>
              <w:jc w:val="center"/>
              <w:rPr>
                <w:b w:val="0"/>
              </w:rPr>
            </w:pPr>
            <w:r w:rsidRPr="002C5958">
              <w:rPr>
                <w:b w:val="0"/>
              </w:rPr>
              <w:t>35</w:t>
            </w:r>
          </w:p>
        </w:tc>
        <w:tc>
          <w:tcPr>
            <w:tcW w:w="807"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2 325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3 425</w:t>
            </w:r>
          </w:p>
        </w:tc>
        <w:tc>
          <w:tcPr>
            <w:tcW w:w="808"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4 525</w:t>
            </w:r>
          </w:p>
        </w:tc>
        <w:tc>
          <w:tcPr>
            <w:tcW w:w="809"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5 625</w:t>
            </w:r>
          </w:p>
        </w:tc>
        <w:tc>
          <w:tcPr>
            <w:tcW w:w="810" w:type="pct"/>
            <w:shd w:val="clear" w:color="auto" w:fill="auto"/>
            <w:tcMar>
              <w:left w:w="57" w:type="dxa"/>
              <w:right w:w="57" w:type="dxa"/>
            </w:tcMar>
            <w:vAlign w:val="center"/>
          </w:tcPr>
          <w:p w:rsidR="00DD65A2" w:rsidRPr="002C5958" w:rsidRDefault="00DD65A2" w:rsidP="002C5958">
            <w:pPr>
              <w:spacing w:before="40" w:line="264"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2C5958">
              <w:rPr>
                <w:color w:val="000000"/>
              </w:rPr>
              <w:t>6 725</w:t>
            </w:r>
          </w:p>
        </w:tc>
      </w:tr>
    </w:tbl>
    <w:p w:rsidR="00DD65A2" w:rsidRPr="002C5958" w:rsidRDefault="00DD65A2" w:rsidP="00DD65A2">
      <w:pPr>
        <w:autoSpaceDE w:val="0"/>
        <w:autoSpaceDN w:val="0"/>
        <w:adjustRightInd w:val="0"/>
        <w:rPr>
          <w:i/>
          <w:sz w:val="18"/>
          <w:szCs w:val="18"/>
        </w:rPr>
      </w:pPr>
      <w:r w:rsidRPr="002C5958">
        <w:rPr>
          <w:i/>
          <w:sz w:val="18"/>
          <w:szCs w:val="18"/>
        </w:rPr>
        <w:t>1) ztráta telete = 3 500 Kč;</w:t>
      </w:r>
    </w:p>
    <w:p w:rsidR="00DD65A2" w:rsidRPr="002C5958" w:rsidRDefault="00DD65A2" w:rsidP="002C5958">
      <w:pPr>
        <w:autoSpaceDE w:val="0"/>
        <w:autoSpaceDN w:val="0"/>
        <w:adjustRightInd w:val="0"/>
        <w:spacing w:before="0" w:line="240" w:lineRule="auto"/>
        <w:rPr>
          <w:i/>
          <w:sz w:val="18"/>
          <w:szCs w:val="18"/>
        </w:rPr>
      </w:pPr>
      <w:r w:rsidRPr="002C5958">
        <w:rPr>
          <w:i/>
          <w:sz w:val="18"/>
          <w:szCs w:val="18"/>
        </w:rPr>
        <w:t>2) ztráta z onemocnění 11 tis. Kč na krávu (1 500 litrů mléka a 6 000 Kč, 2 500 a 400 Kč veterinární a  plemenářské výkony, delší odchov 1 100 Kč a vyšší spotřeba práce 1 000 Kč.</w:t>
      </w:r>
    </w:p>
    <w:p w:rsidR="00DD65A2" w:rsidRDefault="00DD65A2" w:rsidP="00DD65A2">
      <w:pPr>
        <w:autoSpaceDE w:val="0"/>
        <w:autoSpaceDN w:val="0"/>
        <w:adjustRightInd w:val="0"/>
        <w:rPr>
          <w:bCs/>
          <w:spacing w:val="-2"/>
          <w:szCs w:val="24"/>
        </w:rPr>
      </w:pPr>
    </w:p>
    <w:p w:rsidR="00DD65A2" w:rsidRDefault="00DD65A2" w:rsidP="00DD65A2">
      <w:pPr>
        <w:autoSpaceDE w:val="0"/>
        <w:autoSpaceDN w:val="0"/>
        <w:adjustRightInd w:val="0"/>
        <w:rPr>
          <w:b/>
        </w:rPr>
      </w:pPr>
    </w:p>
    <w:p w:rsidR="00DD65A2" w:rsidRPr="00ED1AB8" w:rsidRDefault="00DD65A2" w:rsidP="00040097">
      <w:pPr>
        <w:pStyle w:val="Nadpis2"/>
      </w:pPr>
      <w:bookmarkStart w:id="60" w:name="_Toc497823129"/>
      <w:bookmarkStart w:id="61" w:name="_Toc497823608"/>
      <w:bookmarkStart w:id="62" w:name="_Toc497823703"/>
      <w:bookmarkStart w:id="63" w:name="_Toc497884741"/>
      <w:r w:rsidRPr="00ED1AB8">
        <w:t>Závěr</w:t>
      </w:r>
      <w:bookmarkEnd w:id="60"/>
      <w:bookmarkEnd w:id="61"/>
      <w:bookmarkEnd w:id="62"/>
      <w:bookmarkEnd w:id="63"/>
    </w:p>
    <w:p w:rsidR="00DD65A2" w:rsidRPr="00A719FB" w:rsidRDefault="00DD65A2" w:rsidP="00DD65A2">
      <w:pPr>
        <w:shd w:val="clear" w:color="auto" w:fill="FFFFFF"/>
        <w:rPr>
          <w:szCs w:val="24"/>
        </w:rPr>
      </w:pPr>
      <w:r w:rsidRPr="00A719FB">
        <w:rPr>
          <w:color w:val="222222"/>
          <w:szCs w:val="24"/>
        </w:rPr>
        <w:t xml:space="preserve">Na nárůstu průměrné dojivosti krav v posledních letech a její aktuální úrovni v rámci </w:t>
      </w:r>
      <w:r>
        <w:rPr>
          <w:color w:val="222222"/>
          <w:szCs w:val="24"/>
        </w:rPr>
        <w:t xml:space="preserve">ČR i </w:t>
      </w:r>
      <w:r w:rsidRPr="00A719FB">
        <w:rPr>
          <w:color w:val="222222"/>
          <w:szCs w:val="24"/>
        </w:rPr>
        <w:t xml:space="preserve">EU se kromě mnoha dalších faktorů podílejí i příznivé výsledky odchovu telat. Přesto lze z vysokých rozdílů v nákladech na odchované tele (bez režií přibližně 4 000 až 14 000 Kč) i na den jeho odchovu (22 až 74 Kč) </w:t>
      </w:r>
      <w:r>
        <w:rPr>
          <w:color w:val="222222"/>
          <w:szCs w:val="24"/>
        </w:rPr>
        <w:t xml:space="preserve">usuzovat </w:t>
      </w:r>
      <w:r w:rsidRPr="00A719FB">
        <w:rPr>
          <w:color w:val="222222"/>
          <w:szCs w:val="24"/>
        </w:rPr>
        <w:t xml:space="preserve">na možnosti jejich dalšího snižování. </w:t>
      </w:r>
    </w:p>
    <w:p w:rsidR="00DD65A2" w:rsidRDefault="00DD65A2" w:rsidP="00DD65A2">
      <w:pPr>
        <w:shd w:val="clear" w:color="auto" w:fill="FFFFFF"/>
        <w:rPr>
          <w:bCs/>
          <w:szCs w:val="24"/>
        </w:rPr>
      </w:pPr>
      <w:r w:rsidRPr="00EA7401">
        <w:rPr>
          <w:szCs w:val="24"/>
        </w:rPr>
        <w:t xml:space="preserve">Ztráty a onemocnění telat v průběhu odchovu jsou příčinou značných přímých (náklady na </w:t>
      </w:r>
      <w:r w:rsidRPr="00EA7401">
        <w:rPr>
          <w:spacing w:val="-2"/>
          <w:szCs w:val="24"/>
        </w:rPr>
        <w:t>delší odchov, veterinární péči, léky, práci aj.) a nepřímých nákladů (nižší celoživotní</w:t>
      </w:r>
      <w:r>
        <w:rPr>
          <w:szCs w:val="24"/>
        </w:rPr>
        <w:t xml:space="preserve"> produkce </w:t>
      </w:r>
      <w:r w:rsidRPr="003C2F19">
        <w:rPr>
          <w:spacing w:val="-2"/>
          <w:szCs w:val="24"/>
        </w:rPr>
        <w:t>mléka, vyšší věk při prvním otelení, horší plodnost aj.) chovu dojených krav. Celkové ztráty</w:t>
      </w:r>
      <w:r>
        <w:rPr>
          <w:szCs w:val="24"/>
        </w:rPr>
        <w:t xml:space="preserve"> na každou dojnici stáda vykazují velkou variabilitu v závislosti na podílu uhynulých, vyřazených a v průběhu odchovu nemocných telat, na dosahované užitkovosti krav, nákupních cenách mléka, nákladech na odchov jalovic a mnoha dalších faktorech. Při vysoké variabilitě lze průměrnou z</w:t>
      </w:r>
      <w:r w:rsidRPr="00346699">
        <w:rPr>
          <w:bCs/>
          <w:spacing w:val="-2"/>
          <w:szCs w:val="24"/>
        </w:rPr>
        <w:t>trát</w:t>
      </w:r>
      <w:r>
        <w:rPr>
          <w:bCs/>
          <w:spacing w:val="-2"/>
          <w:szCs w:val="24"/>
        </w:rPr>
        <w:t xml:space="preserve">u odhadnout na </w:t>
      </w:r>
      <w:r>
        <w:rPr>
          <w:bCs/>
          <w:szCs w:val="24"/>
        </w:rPr>
        <w:t xml:space="preserve">1 275 Kč při ztrátách telat 5 % a podílu nemocných telat 10 % až na 6 725 Kč při ztrátách 35 % a podílu nemocných telat 50 %. </w:t>
      </w:r>
      <w:r w:rsidRPr="007A62C8">
        <w:rPr>
          <w:bCs/>
          <w:spacing w:val="-4"/>
          <w:szCs w:val="24"/>
        </w:rPr>
        <w:t>Vysoké ztráty a podíl nemocných telat lze v mnoha případech snížit prevencí, resp.</w:t>
      </w:r>
      <w:r>
        <w:rPr>
          <w:bCs/>
          <w:spacing w:val="-2"/>
          <w:szCs w:val="24"/>
        </w:rPr>
        <w:t xml:space="preserve"> </w:t>
      </w:r>
      <w:r w:rsidRPr="008871FE">
        <w:rPr>
          <w:bCs/>
          <w:spacing w:val="-2"/>
          <w:szCs w:val="24"/>
        </w:rPr>
        <w:t xml:space="preserve">dodržováním </w:t>
      </w:r>
      <w:r w:rsidRPr="007A62C8">
        <w:rPr>
          <w:bCs/>
          <w:spacing w:val="-2"/>
          <w:szCs w:val="24"/>
        </w:rPr>
        <w:t>známých zásad poporodní péče, ošetřování, výživy a krmení, ustájení a dalších, popř.</w:t>
      </w:r>
      <w:r>
        <w:rPr>
          <w:bCs/>
          <w:szCs w:val="24"/>
        </w:rPr>
        <w:t xml:space="preserve"> vhodným a šetrným </w:t>
      </w:r>
      <w:r w:rsidRPr="00154AFC">
        <w:rPr>
          <w:bCs/>
          <w:szCs w:val="24"/>
        </w:rPr>
        <w:t xml:space="preserve">léčením. Vzhledem k vysoké variabilitě jednotlivých položek nákladů odchovu telat a ztrát </w:t>
      </w:r>
      <w:r w:rsidRPr="00154AFC">
        <w:rPr>
          <w:bCs/>
          <w:spacing w:val="-2"/>
          <w:szCs w:val="24"/>
        </w:rPr>
        <w:t>vyvolaných různými faktory je nutno uváděné výsledky a odhady považovat za</w:t>
      </w:r>
      <w:r w:rsidRPr="00154AFC">
        <w:rPr>
          <w:bCs/>
          <w:szCs w:val="24"/>
        </w:rPr>
        <w:t xml:space="preserve"> orientační. </w:t>
      </w:r>
    </w:p>
    <w:p w:rsidR="00091283" w:rsidRDefault="00091283" w:rsidP="00DD65A2">
      <w:pPr>
        <w:shd w:val="clear" w:color="auto" w:fill="FFFFFF"/>
        <w:rPr>
          <w:bCs/>
          <w:szCs w:val="24"/>
        </w:rPr>
      </w:pPr>
    </w:p>
    <w:tbl>
      <w:tblPr>
        <w:tblStyle w:val="Mkatabulky"/>
        <w:tblW w:w="0" w:type="auto"/>
        <w:tblLook w:val="04A0" w:firstRow="1" w:lastRow="0" w:firstColumn="1" w:lastColumn="0" w:noHBand="0" w:noVBand="1"/>
      </w:tblPr>
      <w:tblGrid>
        <w:gridCol w:w="10118"/>
      </w:tblGrid>
      <w:tr w:rsidR="00091283" w:rsidTr="00091283">
        <w:trPr>
          <w:trHeight w:val="803"/>
        </w:trPr>
        <w:tc>
          <w:tcPr>
            <w:tcW w:w="10118" w:type="dxa"/>
            <w:shd w:val="clear" w:color="auto" w:fill="F2F2F2" w:themeFill="background1" w:themeFillShade="F2"/>
          </w:tcPr>
          <w:p w:rsidR="00091283" w:rsidRDefault="00091283" w:rsidP="00091283">
            <w:pPr>
              <w:ind w:left="113" w:right="170"/>
              <w:rPr>
                <w:bCs/>
                <w:szCs w:val="24"/>
              </w:rPr>
            </w:pPr>
            <w:r>
              <w:rPr>
                <w:bCs/>
                <w:szCs w:val="24"/>
              </w:rPr>
              <w:t>Cílem zlepšení zdravotního stavu telat by mělo být nejen zlepšení ekonomických výsledků výroby mléka, ale i zlepšení životních podmínek a pohody (welfare) telat v tomto náročném a kritickém období jejich života.</w:t>
            </w:r>
          </w:p>
        </w:tc>
      </w:tr>
    </w:tbl>
    <w:p w:rsidR="00C327D0" w:rsidRDefault="00C327D0" w:rsidP="00DD65A2">
      <w:pPr>
        <w:shd w:val="clear" w:color="auto" w:fill="FFFFFF"/>
        <w:rPr>
          <w:bCs/>
          <w:szCs w:val="24"/>
        </w:rPr>
      </w:pPr>
    </w:p>
    <w:p w:rsidR="00DD65A2" w:rsidRPr="00CD221E" w:rsidRDefault="00DD65A2" w:rsidP="00040097">
      <w:r w:rsidRPr="00CD221E">
        <w:t>Seznam použité literatury je k dispozici u autora příspěvku.</w:t>
      </w:r>
    </w:p>
    <w:p w:rsidR="00DD65A2" w:rsidRPr="008C691C" w:rsidRDefault="00DD65A2" w:rsidP="00040097">
      <w:r w:rsidRPr="008C691C">
        <w:t>Příspěvek byl zpracován v rámci řešení projektů MZERO0714</w:t>
      </w:r>
      <w:r w:rsidRPr="008C691C">
        <w:rPr>
          <w:spacing w:val="-2"/>
        </w:rPr>
        <w:t>.</w:t>
      </w:r>
    </w:p>
    <w:p w:rsidR="00953CD0" w:rsidRPr="00C650CA" w:rsidRDefault="00953CD0" w:rsidP="001446F2"/>
    <w:p w:rsidR="001152A3" w:rsidRDefault="001152A3">
      <w:pPr>
        <w:sectPr w:rsidR="001152A3" w:rsidSect="001A30E1">
          <w:pgSz w:w="11906" w:h="16838" w:code="9"/>
          <w:pgMar w:top="1134" w:right="964" w:bottom="1134" w:left="964" w:header="680" w:footer="624" w:gutter="0"/>
          <w:cols w:space="708"/>
          <w:docGrid w:linePitch="360"/>
        </w:sect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22"/>
      </w:tblGrid>
      <w:tr w:rsidR="009A2126" w:rsidRPr="009A2126" w:rsidTr="009A2126">
        <w:tc>
          <w:tcPr>
            <w:tcW w:w="7196" w:type="dxa"/>
            <w:vAlign w:val="bottom"/>
          </w:tcPr>
          <w:p w:rsidR="009A2126" w:rsidRPr="009A2126" w:rsidRDefault="009A2126" w:rsidP="009A2126">
            <w:pPr>
              <w:pStyle w:val="Nadpis1"/>
              <w:spacing w:before="0" w:after="0"/>
            </w:pPr>
            <w:bookmarkStart w:id="64" w:name="_Toc497823130"/>
            <w:bookmarkStart w:id="65" w:name="_Toc497823609"/>
            <w:bookmarkStart w:id="66" w:name="_Toc497884742"/>
            <w:r w:rsidRPr="009A2126">
              <w:lastRenderedPageBreak/>
              <w:t>Novinky ve zdraví končetin a paznehtů dojnic</w:t>
            </w:r>
            <w:bookmarkEnd w:id="64"/>
            <w:bookmarkEnd w:id="65"/>
            <w:bookmarkEnd w:id="66"/>
          </w:p>
        </w:tc>
        <w:tc>
          <w:tcPr>
            <w:tcW w:w="2922" w:type="dxa"/>
            <w:shd w:val="clear" w:color="auto" w:fill="4BACC6" w:themeFill="accent5"/>
          </w:tcPr>
          <w:p w:rsidR="009A2126" w:rsidRPr="009A2126" w:rsidRDefault="009A2126" w:rsidP="009A2126">
            <w:pPr>
              <w:pStyle w:val="Nadpis1"/>
              <w:spacing w:before="0" w:after="0"/>
            </w:pPr>
          </w:p>
        </w:tc>
      </w:tr>
    </w:tbl>
    <w:p w:rsidR="009A2126" w:rsidRPr="009A2126" w:rsidRDefault="009A2126" w:rsidP="009A2126">
      <w:pPr>
        <w:pStyle w:val="Nadpis3"/>
        <w:spacing w:before="120"/>
      </w:pPr>
      <w:r>
        <w:t>Postřehy z celosvětové konference „Lameness in Ruminants 2017“, představení ICAR Atlasu zdraví paznehtů)</w:t>
      </w:r>
    </w:p>
    <w:p w:rsidR="006249D4" w:rsidRPr="00515243" w:rsidRDefault="009A2126" w:rsidP="006249D4">
      <w:pPr>
        <w:pStyle w:val="Nadpis2"/>
        <w:rPr>
          <w:sz w:val="22"/>
          <w:szCs w:val="22"/>
        </w:rPr>
      </w:pPr>
      <w:bookmarkStart w:id="67" w:name="_Toc497823131"/>
      <w:bookmarkStart w:id="68" w:name="_Toc497823610"/>
      <w:bookmarkStart w:id="69" w:name="_Toc497884743"/>
      <w:r w:rsidRPr="009A2126">
        <w:rPr>
          <w:sz w:val="22"/>
          <w:szCs w:val="22"/>
        </w:rPr>
        <w:t>MVDr. Soňa Šlosárková, Ph.D</w:t>
      </w:r>
      <w:bookmarkEnd w:id="67"/>
      <w:r w:rsidR="007D266F">
        <w:rPr>
          <w:sz w:val="22"/>
          <w:szCs w:val="22"/>
        </w:rPr>
        <w:t>.</w:t>
      </w:r>
      <w:bookmarkEnd w:id="68"/>
      <w:bookmarkEnd w:id="69"/>
    </w:p>
    <w:p w:rsidR="006249D4" w:rsidRPr="00515243" w:rsidRDefault="006249D4" w:rsidP="006249D4">
      <w:pPr>
        <w:pStyle w:val="Nadpis3"/>
        <w:rPr>
          <w:szCs w:val="20"/>
        </w:rPr>
      </w:pPr>
      <w:r w:rsidRPr="00515243">
        <w:rPr>
          <w:szCs w:val="20"/>
        </w:rPr>
        <w:t xml:space="preserve">Výzkumný ústav </w:t>
      </w:r>
      <w:r w:rsidR="009A2126">
        <w:rPr>
          <w:szCs w:val="20"/>
        </w:rPr>
        <w:t>veterinárního lékařství</w:t>
      </w:r>
      <w:r w:rsidRPr="00515243">
        <w:rPr>
          <w:szCs w:val="20"/>
        </w:rPr>
        <w:t xml:space="preserve">, v.v.i. </w:t>
      </w:r>
      <w:r w:rsidR="009A2126">
        <w:rPr>
          <w:szCs w:val="20"/>
        </w:rPr>
        <w:t>Brno</w:t>
      </w:r>
    </w:p>
    <w:tbl>
      <w:tblPr>
        <w:tblW w:w="10194" w:type="dxa"/>
        <w:tblInd w:w="-98" w:type="dxa"/>
        <w:tblCellMar>
          <w:left w:w="0" w:type="dxa"/>
          <w:right w:w="0" w:type="dxa"/>
        </w:tblCellMar>
        <w:tblLook w:val="0600" w:firstRow="0" w:lastRow="0" w:firstColumn="0" w:lastColumn="0" w:noHBand="1" w:noVBand="1"/>
      </w:tblPr>
      <w:tblGrid>
        <w:gridCol w:w="3102"/>
        <w:gridCol w:w="1078"/>
        <w:gridCol w:w="6014"/>
      </w:tblGrid>
      <w:tr w:rsidR="00717A8F" w:rsidRPr="00804233" w:rsidTr="00EC6E25">
        <w:trPr>
          <w:trHeight w:val="113"/>
        </w:trPr>
        <w:tc>
          <w:tcPr>
            <w:tcW w:w="10194" w:type="dxa"/>
            <w:gridSpan w:val="3"/>
            <w:shd w:val="clear" w:color="auto" w:fill="auto"/>
            <w:tcMar>
              <w:top w:w="28" w:type="dxa"/>
              <w:left w:w="113" w:type="dxa"/>
              <w:bottom w:w="28" w:type="dxa"/>
              <w:right w:w="113" w:type="dxa"/>
            </w:tcMar>
          </w:tcPr>
          <w:p w:rsidR="00717A8F" w:rsidRPr="00717A8F" w:rsidRDefault="00717A8F" w:rsidP="00E136A4">
            <w:pPr>
              <w:spacing w:after="60"/>
            </w:pPr>
            <w:r>
              <w:t>C</w:t>
            </w:r>
            <w:r w:rsidRPr="00535F17">
              <w:t>elosvětov</w:t>
            </w:r>
            <w:r>
              <w:t>á</w:t>
            </w:r>
            <w:r w:rsidRPr="00535F17">
              <w:t xml:space="preserve"> konference </w:t>
            </w:r>
            <w:r w:rsidRPr="00804233">
              <w:rPr>
                <w:b/>
              </w:rPr>
              <w:t xml:space="preserve">11th Conference </w:t>
            </w:r>
            <w:r w:rsidRPr="00804233">
              <w:rPr>
                <w:rFonts w:cs="Arial"/>
                <w:b/>
              </w:rPr>
              <w:t>Lameness in Ruminants 2017</w:t>
            </w:r>
            <w:r>
              <w:t xml:space="preserve"> se </w:t>
            </w:r>
            <w:r w:rsidRPr="00535F17">
              <w:t xml:space="preserve">konala letos </w:t>
            </w:r>
            <w:r>
              <w:t>v září</w:t>
            </w:r>
            <w:r w:rsidRPr="00535F17">
              <w:t xml:space="preserve"> v Německu, Mnichově. </w:t>
            </w:r>
            <w:r>
              <w:t>Trvala 3 dny a zúčastnilo se jí cca 300 zájemců z Evropy, Asie, Severní i Jižní Ameriky, Austrálie i</w:t>
            </w:r>
            <w:r w:rsidR="00E136A4">
              <w:t> </w:t>
            </w:r>
            <w:r>
              <w:t>Nového Zélandu.</w:t>
            </w:r>
          </w:p>
        </w:tc>
      </w:tr>
      <w:tr w:rsidR="00EC6E25" w:rsidRPr="00804233" w:rsidTr="00F41770">
        <w:trPr>
          <w:trHeight w:val="113"/>
        </w:trPr>
        <w:tc>
          <w:tcPr>
            <w:tcW w:w="4180" w:type="dxa"/>
            <w:gridSpan w:val="2"/>
            <w:tcBorders>
              <w:right w:val="single" w:sz="8" w:space="0" w:color="4BACC6" w:themeColor="accent5"/>
            </w:tcBorders>
            <w:shd w:val="clear" w:color="auto" w:fill="auto"/>
            <w:tcMar>
              <w:top w:w="28" w:type="dxa"/>
              <w:left w:w="113" w:type="dxa"/>
              <w:bottom w:w="28" w:type="dxa"/>
              <w:right w:w="113" w:type="dxa"/>
            </w:tcMar>
          </w:tcPr>
          <w:p w:rsidR="00EC6E25" w:rsidRPr="00804233" w:rsidRDefault="00EC6E25" w:rsidP="00EC6E25">
            <w:pPr>
              <w:spacing w:line="240" w:lineRule="auto"/>
              <w:jc w:val="left"/>
              <w:textAlignment w:val="baseline"/>
              <w:rPr>
                <w:rFonts w:cs="Arial"/>
                <w:bCs/>
                <w:color w:val="FFFFFF"/>
                <w:kern w:val="24"/>
                <w:position w:val="1"/>
                <w:szCs w:val="20"/>
              </w:rPr>
            </w:pPr>
            <w:r>
              <w:t>Hlavní témata, kterým byla věnována pozornost</w:t>
            </w:r>
            <w:r w:rsidR="00F35809">
              <w:t>,</w:t>
            </w:r>
            <w:r>
              <w:t xml:space="preserve"> jsou shrnuta v tabulce 1.</w:t>
            </w:r>
          </w:p>
        </w:tc>
        <w:tc>
          <w:tcPr>
            <w:tcW w:w="6014" w:type="dxa"/>
            <w:tcBorders>
              <w:top w:val="single" w:sz="8" w:space="0" w:color="4BACC6" w:themeColor="accent5"/>
              <w:left w:val="single" w:sz="8" w:space="0" w:color="4BACC6" w:themeColor="accent5"/>
              <w:right w:val="single" w:sz="8" w:space="0" w:color="4BACC6" w:themeColor="accent5"/>
            </w:tcBorders>
            <w:shd w:val="clear" w:color="auto" w:fill="auto"/>
            <w:tcMar>
              <w:top w:w="28" w:type="dxa"/>
              <w:left w:w="113" w:type="dxa"/>
              <w:bottom w:w="28" w:type="dxa"/>
              <w:right w:w="113" w:type="dxa"/>
            </w:tcMar>
            <w:vAlign w:val="center"/>
            <w:hideMark/>
          </w:tcPr>
          <w:p w:rsidR="00EC6E25" w:rsidRPr="00804233" w:rsidRDefault="00EC6E25" w:rsidP="00EC6E25">
            <w:pPr>
              <w:pStyle w:val="Nadpis3"/>
              <w:rPr>
                <w:szCs w:val="20"/>
              </w:rPr>
            </w:pPr>
            <w:r w:rsidRPr="00F41770">
              <w:rPr>
                <w:color w:val="215868" w:themeColor="accent5" w:themeShade="80"/>
              </w:rPr>
              <w:t xml:space="preserve">Tabulka 1 </w:t>
            </w:r>
            <w:r w:rsidRPr="00F41770">
              <w:rPr>
                <w:color w:val="215868" w:themeColor="accent5" w:themeShade="80"/>
              </w:rPr>
              <w:br/>
            </w:r>
            <w:r w:rsidR="00F35809" w:rsidRPr="00F35809">
              <w:rPr>
                <w:color w:val="215868" w:themeColor="accent5" w:themeShade="80"/>
              </w:rPr>
              <w:t>Hlavní témata, kterým byla věnována pozornost na konferenci Lameness in Ruminants 2017</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Kulhání – jeho příčiny, zánět, dopady kulhání</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 xml:space="preserve">Dermatitis digitalis  </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 xml:space="preserve">Úprava paznehtů, funkční úprava, </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eastAsiaTheme="minorEastAsia"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eastAsiaTheme="minorEastAsia"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eastAsiaTheme="minorEastAsia" w:cs="Arial"/>
                <w:bCs/>
                <w:kern w:val="24"/>
                <w:szCs w:val="20"/>
              </w:rPr>
              <w:t xml:space="preserve">Ošetřování vředů, ošetřování DD </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Welfare krav, Hygiena</w:t>
            </w:r>
            <w:r w:rsidRPr="00804233">
              <w:rPr>
                <w:rFonts w:cs="Arial"/>
                <w:kern w:val="24"/>
                <w:szCs w:val="20"/>
              </w:rPr>
              <w:t xml:space="preserve"> </w:t>
            </w:r>
            <w:r w:rsidRPr="00804233">
              <w:rPr>
                <w:rFonts w:cs="Arial"/>
                <w:bCs/>
                <w:kern w:val="24"/>
                <w:szCs w:val="20"/>
              </w:rPr>
              <w:t xml:space="preserve"> </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Zobrazovací metody, sonografie</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Bolest</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Laminitida</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Detekce onemocnění končetin, zaznamenávání, analýza dat</w:t>
            </w:r>
          </w:p>
        </w:tc>
      </w:tr>
      <w:tr w:rsidR="00717A8F" w:rsidRPr="00804233" w:rsidTr="00F41770">
        <w:trPr>
          <w:trHeight w:val="113"/>
        </w:trPr>
        <w:tc>
          <w:tcPr>
            <w:tcW w:w="3102" w:type="dxa"/>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1078" w:type="dxa"/>
            <w:tcBorders>
              <w:right w:val="single" w:sz="8" w:space="0" w:color="4BACC6" w:themeColor="accent5"/>
            </w:tcBorders>
            <w:shd w:val="clear" w:color="auto" w:fill="auto"/>
            <w:tcMar>
              <w:top w:w="28" w:type="dxa"/>
              <w:left w:w="113" w:type="dxa"/>
              <w:bottom w:w="28" w:type="dxa"/>
              <w:right w:w="113" w:type="dxa"/>
            </w:tcMar>
          </w:tcPr>
          <w:p w:rsidR="00717A8F" w:rsidRPr="00804233" w:rsidRDefault="00717A8F" w:rsidP="00F41770">
            <w:pPr>
              <w:spacing w:before="0" w:line="240" w:lineRule="auto"/>
              <w:textAlignment w:val="baseline"/>
              <w:rPr>
                <w:rFonts w:cs="Arial"/>
                <w:bCs/>
                <w:kern w:val="24"/>
                <w:szCs w:val="20"/>
              </w:rPr>
            </w:pPr>
          </w:p>
        </w:tc>
        <w:tc>
          <w:tcPr>
            <w:tcW w:w="6014" w:type="dxa"/>
            <w:tcBorders>
              <w:left w:val="single" w:sz="8" w:space="0" w:color="4BACC6" w:themeColor="accent5"/>
              <w:bottom w:val="single" w:sz="8" w:space="0" w:color="4BACC6" w:themeColor="accent5"/>
              <w:right w:val="single" w:sz="8" w:space="0" w:color="4BACC6" w:themeColor="accent5"/>
            </w:tcBorders>
            <w:shd w:val="clear" w:color="auto" w:fill="DAEEF3" w:themeFill="accent5" w:themeFillTint="33"/>
            <w:tcMar>
              <w:top w:w="28" w:type="dxa"/>
              <w:left w:w="113" w:type="dxa"/>
              <w:bottom w:w="28" w:type="dxa"/>
              <w:right w:w="113" w:type="dxa"/>
            </w:tcMar>
            <w:vAlign w:val="center"/>
            <w:hideMark/>
          </w:tcPr>
          <w:p w:rsidR="00717A8F" w:rsidRPr="00804233" w:rsidRDefault="00717A8F" w:rsidP="00F41770">
            <w:pPr>
              <w:spacing w:before="0" w:line="240" w:lineRule="auto"/>
              <w:textAlignment w:val="baseline"/>
              <w:rPr>
                <w:rFonts w:cs="Arial"/>
                <w:szCs w:val="20"/>
              </w:rPr>
            </w:pPr>
            <w:r w:rsidRPr="00804233">
              <w:rPr>
                <w:rFonts w:cs="Arial"/>
                <w:bCs/>
                <w:kern w:val="24"/>
                <w:szCs w:val="20"/>
              </w:rPr>
              <w:t>Genetika</w:t>
            </w:r>
          </w:p>
        </w:tc>
      </w:tr>
    </w:tbl>
    <w:p w:rsidR="00717A8F" w:rsidRPr="00E6366D" w:rsidRDefault="00AB5BA2" w:rsidP="00AB5BA2">
      <w:pPr>
        <w:numPr>
          <w:ilvl w:val="0"/>
          <w:numId w:val="19"/>
        </w:numPr>
        <w:spacing w:before="360" w:after="60"/>
        <w:ind w:left="284" w:hanging="284"/>
        <w:rPr>
          <w:b/>
          <w:szCs w:val="20"/>
        </w:rPr>
      </w:pPr>
      <w:r w:rsidRPr="00AB5BA2">
        <w:rPr>
          <w:b/>
          <w:szCs w:val="20"/>
        </w:rPr>
        <w:t>Příčiny vzniku poruch na paznehtech</w:t>
      </w:r>
    </w:p>
    <w:p w:rsidR="00717A8F" w:rsidRDefault="00717A8F" w:rsidP="00F55C49">
      <w:pPr>
        <w:spacing w:after="60" w:line="264" w:lineRule="auto"/>
      </w:pPr>
      <w:r w:rsidRPr="00535F17">
        <w:t>Velk</w:t>
      </w:r>
      <w:r>
        <w:t>á</w:t>
      </w:r>
      <w:r w:rsidRPr="00535F17">
        <w:t xml:space="preserve"> pozornost </w:t>
      </w:r>
      <w:r>
        <w:t xml:space="preserve">je neustále </w:t>
      </w:r>
      <w:r w:rsidRPr="00535F17">
        <w:t>věn</w:t>
      </w:r>
      <w:r>
        <w:t xml:space="preserve">ována </w:t>
      </w:r>
      <w:r w:rsidRPr="00535F17">
        <w:t>příčin</w:t>
      </w:r>
      <w:r>
        <w:t>ám</w:t>
      </w:r>
      <w:r w:rsidRPr="00535F17">
        <w:t xml:space="preserve"> vzniku nemocí vlastních paznehtů</w:t>
      </w:r>
      <w:r>
        <w:t xml:space="preserve">. Předpokládá se souvislost mezi zprvu subklinickým </w:t>
      </w:r>
      <w:r w:rsidRPr="001555EA">
        <w:t>zánět</w:t>
      </w:r>
      <w:r>
        <w:t>em</w:t>
      </w:r>
      <w:r w:rsidRPr="001555EA">
        <w:t xml:space="preserve"> škáry paznehtní</w:t>
      </w:r>
      <w:r>
        <w:t xml:space="preserve"> a vývojem lézí na paznehtech. Důvody vzniku primárního zánětu škáry paznehtní se neustále testují, je zde např. </w:t>
      </w:r>
      <w:r w:rsidRPr="001555EA">
        <w:t>jednoznačná s</w:t>
      </w:r>
      <w:r>
        <w:t>pojitost</w:t>
      </w:r>
      <w:r w:rsidRPr="001555EA">
        <w:t xml:space="preserve"> s prostředím, ve kterém jsou zvířata chována</w:t>
      </w:r>
      <w:r>
        <w:t xml:space="preserve"> (stres), a s porodní obdobím. </w:t>
      </w:r>
    </w:p>
    <w:p w:rsidR="00717A8F" w:rsidRDefault="00717A8F" w:rsidP="00F55C49">
      <w:pPr>
        <w:spacing w:after="60" w:line="264" w:lineRule="auto"/>
      </w:pPr>
      <w:r w:rsidRPr="00366C6A">
        <w:rPr>
          <w:u w:val="single"/>
        </w:rPr>
        <w:t>Sociální stres</w:t>
      </w:r>
      <w:r>
        <w:t xml:space="preserve"> vzniká, např. pokud jsou stáje přeplněné, pokud je špatný poměr lehacích míst a míst u krmného stolu, pokud není naplněna potřeba odpočinku. </w:t>
      </w:r>
    </w:p>
    <w:p w:rsidR="00717A8F" w:rsidRPr="00CA2C28" w:rsidRDefault="00717A8F" w:rsidP="00F55C49">
      <w:pPr>
        <w:spacing w:line="264" w:lineRule="auto"/>
        <w:rPr>
          <w:rFonts w:cs="Tahoma"/>
          <w:b/>
        </w:rPr>
      </w:pPr>
      <w:r w:rsidRPr="00CA2C28">
        <w:rPr>
          <w:rFonts w:cs="Tahoma"/>
          <w:b/>
        </w:rPr>
        <w:t>„Stáje je nutné koncipovat především pro chovaná zvířata a ne pro nás…“</w:t>
      </w:r>
    </w:p>
    <w:p w:rsidR="00717A8F" w:rsidRPr="006226E0" w:rsidRDefault="00717A8F" w:rsidP="00F55C49">
      <w:pPr>
        <w:spacing w:before="0" w:line="264" w:lineRule="auto"/>
        <w:rPr>
          <w:rFonts w:cs="Tahoma"/>
        </w:rPr>
      </w:pPr>
      <w:r w:rsidRPr="006226E0">
        <w:rPr>
          <w:rFonts w:cs="Tahoma"/>
        </w:rPr>
        <w:t xml:space="preserve">Dalším spouštěcím mechanismem jsou </w:t>
      </w:r>
      <w:r w:rsidRPr="00366C6A">
        <w:rPr>
          <w:rFonts w:cs="Tahoma"/>
          <w:u w:val="single"/>
        </w:rPr>
        <w:t>hormonální změny v období porodu</w:t>
      </w:r>
      <w:r w:rsidRPr="006226E0">
        <w:rPr>
          <w:rFonts w:cs="Tahoma"/>
        </w:rPr>
        <w:t xml:space="preserve">. </w:t>
      </w:r>
      <w:r>
        <w:rPr>
          <w:rFonts w:cs="Tahoma"/>
        </w:rPr>
        <w:t xml:space="preserve">Ty vedou přirozeně </w:t>
      </w:r>
      <w:r w:rsidRPr="006226E0">
        <w:rPr>
          <w:rFonts w:cs="Tahoma"/>
        </w:rPr>
        <w:t>k</w:t>
      </w:r>
      <w:r>
        <w:rPr>
          <w:rFonts w:cs="Tahoma"/>
        </w:rPr>
        <w:t xml:space="preserve"> rozvolňování vazů, tj. i k </w:t>
      </w:r>
      <w:r w:rsidRPr="006226E0">
        <w:rPr>
          <w:rFonts w:cs="Tahoma"/>
        </w:rPr>
        <w:t>uvolnění vazů kosti paznehtní</w:t>
      </w:r>
      <w:r>
        <w:rPr>
          <w:rFonts w:cs="Tahoma"/>
        </w:rPr>
        <w:t>. T</w:t>
      </w:r>
      <w:r w:rsidRPr="006226E0">
        <w:rPr>
          <w:rFonts w:cs="Tahoma"/>
        </w:rPr>
        <w:t>ím dochází k j</w:t>
      </w:r>
      <w:r>
        <w:rPr>
          <w:rFonts w:cs="Tahoma"/>
        </w:rPr>
        <w:t>e</w:t>
      </w:r>
      <w:r w:rsidRPr="006226E0">
        <w:rPr>
          <w:rFonts w:cs="Tahoma"/>
        </w:rPr>
        <w:t xml:space="preserve">jímu poklesu a </w:t>
      </w:r>
      <w:r>
        <w:rPr>
          <w:rFonts w:cs="Tahoma"/>
        </w:rPr>
        <w:t xml:space="preserve">následnému stlačování </w:t>
      </w:r>
      <w:r w:rsidRPr="006226E0">
        <w:rPr>
          <w:rFonts w:cs="Tahoma"/>
        </w:rPr>
        <w:t>škár</w:t>
      </w:r>
      <w:r>
        <w:rPr>
          <w:rFonts w:cs="Tahoma"/>
        </w:rPr>
        <w:t>y</w:t>
      </w:r>
      <w:r w:rsidRPr="006226E0">
        <w:rPr>
          <w:rFonts w:cs="Tahoma"/>
        </w:rPr>
        <w:t xml:space="preserve"> paznehtní</w:t>
      </w:r>
      <w:r>
        <w:rPr>
          <w:rFonts w:cs="Tahoma"/>
        </w:rPr>
        <w:t>, čímž vzniká nedokrvenost s následným aseptickým zánětem.</w:t>
      </w:r>
    </w:p>
    <w:p w:rsidR="00717A8F" w:rsidRDefault="00717A8F" w:rsidP="00F55C49">
      <w:pPr>
        <w:spacing w:line="264" w:lineRule="auto"/>
        <w:rPr>
          <w:rFonts w:cs="Tahoma"/>
        </w:rPr>
      </w:pPr>
      <w:r w:rsidRPr="00CA2C28">
        <w:rPr>
          <w:rFonts w:cs="Tahoma"/>
        </w:rPr>
        <w:t xml:space="preserve">Kromě technologií ustájení má významný vliv </w:t>
      </w:r>
      <w:r w:rsidRPr="00366C6A">
        <w:rPr>
          <w:rFonts w:cs="Tahoma"/>
          <w:u w:val="single"/>
        </w:rPr>
        <w:t>minerálně-vitaminová výživa</w:t>
      </w:r>
      <w:r w:rsidRPr="00CA2C28">
        <w:rPr>
          <w:rFonts w:cs="Tahoma"/>
        </w:rPr>
        <w:t xml:space="preserve"> dojnic. </w:t>
      </w:r>
      <w:r>
        <w:rPr>
          <w:rFonts w:cs="Tahoma"/>
        </w:rPr>
        <w:t xml:space="preserve">Pozitivní vliv na zdraví paznehtů (dokonce preventivní vliv na výskyt poruch rohového pouzdra) má podávání speciálních komplexů </w:t>
      </w:r>
      <w:r w:rsidRPr="00CA2C28">
        <w:rPr>
          <w:rFonts w:cs="Tahoma"/>
        </w:rPr>
        <w:t>jednotlivý mikroprvk</w:t>
      </w:r>
      <w:r>
        <w:rPr>
          <w:rFonts w:cs="Tahoma"/>
        </w:rPr>
        <w:t>ů</w:t>
      </w:r>
      <w:r w:rsidRPr="00CA2C28">
        <w:rPr>
          <w:rFonts w:cs="Tahoma"/>
        </w:rPr>
        <w:t xml:space="preserve"> </w:t>
      </w:r>
      <w:r>
        <w:rPr>
          <w:rFonts w:cs="Tahoma"/>
        </w:rPr>
        <w:t xml:space="preserve">s aminokyselinami a jejich dodávání v dostatečné koncentraci do krmných </w:t>
      </w:r>
      <w:r w:rsidRPr="00CA2C28">
        <w:rPr>
          <w:rFonts w:cs="Tahoma"/>
        </w:rPr>
        <w:t>minerálně-vitaminových doplň</w:t>
      </w:r>
      <w:r>
        <w:rPr>
          <w:rFonts w:cs="Tahoma"/>
        </w:rPr>
        <w:t>ků</w:t>
      </w:r>
      <w:r w:rsidRPr="00CA2C28">
        <w:rPr>
          <w:rFonts w:cs="Tahoma"/>
        </w:rPr>
        <w:t xml:space="preserve"> krmné dávky</w:t>
      </w:r>
      <w:r>
        <w:rPr>
          <w:rFonts w:cs="Tahoma"/>
        </w:rPr>
        <w:t xml:space="preserve"> dojnic zejména v období stání na sucho, porodu, a rozdoji a vrcholu laktace. </w:t>
      </w:r>
    </w:p>
    <w:p w:rsidR="00717A8F" w:rsidRPr="009C6857" w:rsidRDefault="00AB5BA2" w:rsidP="00AB5BA2">
      <w:pPr>
        <w:numPr>
          <w:ilvl w:val="0"/>
          <w:numId w:val="19"/>
        </w:numPr>
        <w:spacing w:before="360" w:after="60"/>
        <w:ind w:left="284" w:hanging="284"/>
        <w:rPr>
          <w:b/>
        </w:rPr>
      </w:pPr>
      <w:r w:rsidRPr="00AB5BA2">
        <w:rPr>
          <w:b/>
        </w:rPr>
        <w:t>Ošetřování lézí na paznehtech</w:t>
      </w:r>
    </w:p>
    <w:p w:rsidR="00717A8F" w:rsidRDefault="00717A8F" w:rsidP="00F41770">
      <w:pPr>
        <w:spacing w:before="0"/>
        <w:rPr>
          <w:rFonts w:cs="Tahoma"/>
        </w:rPr>
      </w:pPr>
      <w:r w:rsidRPr="009C6857">
        <w:rPr>
          <w:rFonts w:cs="Tahoma"/>
        </w:rPr>
        <w:t>Při ošetřování lézí (zejména rozvinutých) na paznehtech je definován standardní postup:</w:t>
      </w:r>
    </w:p>
    <w:tbl>
      <w:tblPr>
        <w:tblStyle w:val="Mkatabulky"/>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0118"/>
      </w:tblGrid>
      <w:tr w:rsidR="00E6366D" w:rsidRPr="00E6366D" w:rsidTr="00E6366D">
        <w:trPr>
          <w:trHeight w:val="1446"/>
        </w:trPr>
        <w:tc>
          <w:tcPr>
            <w:tcW w:w="10118" w:type="dxa"/>
            <w:shd w:val="clear" w:color="auto" w:fill="DAEEF3" w:themeFill="accent5" w:themeFillTint="33"/>
            <w:vAlign w:val="center"/>
          </w:tcPr>
          <w:p w:rsidR="00E6366D" w:rsidRPr="00E6366D" w:rsidRDefault="00AB5BA2" w:rsidP="00AB5BA2">
            <w:pPr>
              <w:numPr>
                <w:ilvl w:val="0"/>
                <w:numId w:val="20"/>
              </w:numPr>
              <w:spacing w:before="40"/>
              <w:jc w:val="left"/>
              <w:rPr>
                <w:rFonts w:cs="Tahoma"/>
                <w:szCs w:val="20"/>
              </w:rPr>
            </w:pPr>
            <w:r w:rsidRPr="00AB5BA2">
              <w:rPr>
                <w:rFonts w:cs="Tahoma"/>
                <w:szCs w:val="20"/>
              </w:rPr>
              <w:t>provést funkční úpravu paznehtů, pokud v rámci ní nelze zajistit odlehčení nemocnému paznehtu, potom provést krok 2</w:t>
            </w:r>
          </w:p>
          <w:p w:rsidR="00E6366D" w:rsidRPr="00E6366D" w:rsidRDefault="00E6366D" w:rsidP="00E6366D">
            <w:pPr>
              <w:numPr>
                <w:ilvl w:val="0"/>
                <w:numId w:val="20"/>
              </w:numPr>
              <w:spacing w:before="40"/>
              <w:ind w:left="714" w:hanging="357"/>
              <w:jc w:val="left"/>
              <w:rPr>
                <w:rFonts w:cs="Tahoma"/>
                <w:szCs w:val="20"/>
              </w:rPr>
            </w:pPr>
            <w:r w:rsidRPr="00E6366D">
              <w:rPr>
                <w:rFonts w:cs="Tahoma"/>
                <w:szCs w:val="20"/>
              </w:rPr>
              <w:t>odlehčit pomocí podkování</w:t>
            </w:r>
          </w:p>
          <w:p w:rsidR="00E6366D" w:rsidRPr="00E6366D" w:rsidRDefault="00E6366D" w:rsidP="00E6366D">
            <w:pPr>
              <w:numPr>
                <w:ilvl w:val="0"/>
                <w:numId w:val="20"/>
              </w:numPr>
              <w:spacing w:before="40"/>
              <w:ind w:left="714" w:hanging="357"/>
              <w:jc w:val="left"/>
              <w:rPr>
                <w:rFonts w:cs="Tahoma"/>
                <w:szCs w:val="20"/>
              </w:rPr>
            </w:pPr>
            <w:r w:rsidRPr="00E6366D">
              <w:rPr>
                <w:rFonts w:cs="Tahoma"/>
                <w:szCs w:val="20"/>
              </w:rPr>
              <w:t xml:space="preserve"> ošetřit vlastní léze</w:t>
            </w:r>
          </w:p>
          <w:p w:rsidR="00E6366D" w:rsidRPr="00E6366D" w:rsidRDefault="00E6366D" w:rsidP="00E6366D">
            <w:pPr>
              <w:numPr>
                <w:ilvl w:val="0"/>
                <w:numId w:val="20"/>
              </w:numPr>
              <w:spacing w:before="40"/>
              <w:ind w:left="714" w:hanging="357"/>
              <w:jc w:val="left"/>
              <w:rPr>
                <w:rFonts w:cs="Tahoma"/>
                <w:szCs w:val="20"/>
              </w:rPr>
            </w:pPr>
            <w:r w:rsidRPr="00E6366D">
              <w:rPr>
                <w:rFonts w:cs="Tahoma"/>
                <w:szCs w:val="20"/>
              </w:rPr>
              <w:t>podávat nesteroidní antiflogistika</w:t>
            </w:r>
          </w:p>
        </w:tc>
      </w:tr>
    </w:tbl>
    <w:p w:rsidR="00717A8F" w:rsidRPr="00F41770" w:rsidRDefault="00717A8F" w:rsidP="00717A8F">
      <w:pPr>
        <w:rPr>
          <w:rFonts w:cs="Tahoma"/>
          <w:spacing w:val="-6"/>
        </w:rPr>
      </w:pPr>
      <w:r w:rsidRPr="00F41770">
        <w:rPr>
          <w:rFonts w:cs="Tahoma"/>
          <w:spacing w:val="-6"/>
        </w:rPr>
        <w:t xml:space="preserve">Tento kombinovaný postup zajistil úspěšnost léčby v 56 % oproti cca jen 20% úspěchu při pouhém samotném ošetření. </w:t>
      </w:r>
    </w:p>
    <w:p w:rsidR="00F55C49" w:rsidRDefault="00F55C49" w:rsidP="00F55C49">
      <w:pPr>
        <w:spacing w:before="0" w:after="60" w:line="360" w:lineRule="atLeast"/>
        <w:rPr>
          <w:rFonts w:cs="Tahoma"/>
        </w:rPr>
        <w:sectPr w:rsidR="00F55C49" w:rsidSect="001A30E1">
          <w:pgSz w:w="11906" w:h="16838" w:code="9"/>
          <w:pgMar w:top="1134" w:right="964" w:bottom="1134" w:left="964" w:header="680" w:footer="624" w:gutter="0"/>
          <w:cols w:space="708"/>
          <w:docGrid w:linePitch="360"/>
        </w:sectPr>
      </w:pPr>
    </w:p>
    <w:p w:rsidR="00717A8F" w:rsidRDefault="00717A8F" w:rsidP="00F55C49">
      <w:pPr>
        <w:spacing w:before="0" w:after="60" w:line="360" w:lineRule="atLeast"/>
        <w:rPr>
          <w:rFonts w:cs="Tahoma"/>
        </w:rPr>
      </w:pPr>
      <w:r>
        <w:rPr>
          <w:rFonts w:cs="Tahoma"/>
        </w:rPr>
        <w:lastRenderedPageBreak/>
        <w:t>F</w:t>
      </w:r>
      <w:r w:rsidRPr="00887EC3">
        <w:rPr>
          <w:rFonts w:cs="Tahoma"/>
        </w:rPr>
        <w:t>unkční úprav</w:t>
      </w:r>
      <w:r>
        <w:rPr>
          <w:rFonts w:cs="Tahoma"/>
        </w:rPr>
        <w:t>a</w:t>
      </w:r>
      <w:r w:rsidRPr="00887EC3">
        <w:rPr>
          <w:rFonts w:cs="Tahoma"/>
        </w:rPr>
        <w:t xml:space="preserve"> paznehtů (FÚP)</w:t>
      </w:r>
      <w:r>
        <w:rPr>
          <w:rFonts w:cs="Tahoma"/>
        </w:rPr>
        <w:t xml:space="preserve"> obsahuje 5 základních kroků, kterými jsou:</w:t>
      </w:r>
    </w:p>
    <w:tbl>
      <w:tblPr>
        <w:tblStyle w:val="Mkatabulky"/>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0118"/>
      </w:tblGrid>
      <w:tr w:rsidR="00E6366D" w:rsidRPr="00E6366D" w:rsidTr="00E66661">
        <w:trPr>
          <w:trHeight w:val="3255"/>
        </w:trPr>
        <w:tc>
          <w:tcPr>
            <w:tcW w:w="10118" w:type="dxa"/>
            <w:shd w:val="clear" w:color="auto" w:fill="DAEEF3" w:themeFill="accent5" w:themeFillTint="33"/>
            <w:vAlign w:val="center"/>
          </w:tcPr>
          <w:p w:rsidR="00AB5BA2" w:rsidRPr="00AB5BA2" w:rsidRDefault="00AB5BA2" w:rsidP="00AB5BA2">
            <w:pPr>
              <w:numPr>
                <w:ilvl w:val="0"/>
                <w:numId w:val="24"/>
              </w:numPr>
              <w:spacing w:line="264" w:lineRule="auto"/>
              <w:ind w:right="227"/>
              <w:rPr>
                <w:rFonts w:cs="Tahoma"/>
                <w:spacing w:val="-4"/>
                <w:szCs w:val="20"/>
              </w:rPr>
            </w:pPr>
            <w:r w:rsidRPr="00AB5BA2">
              <w:rPr>
                <w:rFonts w:cs="Tahoma"/>
                <w:spacing w:val="-4"/>
                <w:szCs w:val="20"/>
              </w:rPr>
              <w:t>Úprava méně zatěžovaného, tj. vnitřního paznehtu na pánevních končetinách (u hrudních končetin jde o vnější pazneht), tj. zkrácení délky a snesení tloušťky rohoviny chodidla. Snášení rohoviny chodidla provádět především v oblasti špičky (zde začít). Často je potřeba jen minimální úprava (rozhodně ne na celé ploše) paznehtu, resp. jen obnovení jeho stability. Tím vznikne vzor především výšky pro 2. pazneht.</w:t>
            </w:r>
          </w:p>
          <w:p w:rsidR="00AB5BA2" w:rsidRPr="00AB5BA2" w:rsidRDefault="00AB5BA2" w:rsidP="00A60223">
            <w:pPr>
              <w:numPr>
                <w:ilvl w:val="0"/>
                <w:numId w:val="24"/>
              </w:numPr>
              <w:spacing w:before="40" w:line="264" w:lineRule="auto"/>
              <w:ind w:left="714" w:right="227" w:hanging="357"/>
              <w:rPr>
                <w:rFonts w:cs="Tahoma"/>
                <w:spacing w:val="-4"/>
                <w:szCs w:val="20"/>
              </w:rPr>
            </w:pPr>
            <w:r w:rsidRPr="00AB5BA2">
              <w:rPr>
                <w:rFonts w:cs="Tahoma"/>
                <w:spacing w:val="-4"/>
                <w:szCs w:val="20"/>
              </w:rPr>
              <w:t>Korekce více zatěžovaného tj. vnějšího paznehtu na pánevních končetinách na úroveň upraveného vnitřního paznehtu (délka, tloušťka), avšak jen, pokud je to možné (tj. pokud byl první dostatečně vysoký).</w:t>
            </w:r>
          </w:p>
          <w:p w:rsidR="00AB5BA2" w:rsidRPr="00AB5BA2" w:rsidRDefault="00AB5BA2" w:rsidP="00A60223">
            <w:pPr>
              <w:numPr>
                <w:ilvl w:val="0"/>
                <w:numId w:val="24"/>
              </w:numPr>
              <w:spacing w:before="40" w:line="264" w:lineRule="auto"/>
              <w:ind w:left="714" w:right="227" w:hanging="357"/>
              <w:rPr>
                <w:rFonts w:cs="Tahoma"/>
                <w:spacing w:val="-4"/>
                <w:szCs w:val="20"/>
              </w:rPr>
            </w:pPr>
            <w:r w:rsidRPr="00AB5BA2">
              <w:rPr>
                <w:rFonts w:cs="Tahoma"/>
                <w:spacing w:val="-4"/>
                <w:szCs w:val="20"/>
              </w:rPr>
              <w:t>Modelování vnitřní misky na obou paznehtech s cílem odlehčit místu s největším tlakem, tj. predispozičnímu místu ke vzniku Rusterholzova vředu.</w:t>
            </w:r>
          </w:p>
          <w:p w:rsidR="00AB5BA2" w:rsidRPr="00AB5BA2" w:rsidRDefault="00AB5BA2" w:rsidP="00A60223">
            <w:pPr>
              <w:numPr>
                <w:ilvl w:val="0"/>
                <w:numId w:val="24"/>
              </w:numPr>
              <w:spacing w:before="40" w:line="264" w:lineRule="auto"/>
              <w:ind w:left="714" w:right="227" w:hanging="357"/>
              <w:rPr>
                <w:rFonts w:cs="Tahoma"/>
                <w:spacing w:val="-4"/>
                <w:szCs w:val="20"/>
              </w:rPr>
            </w:pPr>
            <w:r w:rsidRPr="00AB5BA2">
              <w:rPr>
                <w:rFonts w:cs="Tahoma"/>
                <w:spacing w:val="-4"/>
                <w:szCs w:val="20"/>
              </w:rPr>
              <w:t>Kontrola a korekce defektů a barevných skvrn na rohovině chodidla., zejména defektů v bílé čáře.</w:t>
            </w:r>
          </w:p>
          <w:p w:rsidR="00E6366D" w:rsidRPr="00E6366D" w:rsidRDefault="00AB5BA2" w:rsidP="00A60223">
            <w:pPr>
              <w:numPr>
                <w:ilvl w:val="0"/>
                <w:numId w:val="24"/>
              </w:numPr>
              <w:spacing w:before="40" w:line="264" w:lineRule="auto"/>
              <w:ind w:left="714" w:right="227" w:hanging="357"/>
              <w:rPr>
                <w:rFonts w:cs="Tahoma"/>
                <w:szCs w:val="20"/>
              </w:rPr>
            </w:pPr>
            <w:r w:rsidRPr="00AB5BA2">
              <w:rPr>
                <w:rFonts w:cs="Tahoma"/>
                <w:spacing w:val="-4"/>
                <w:szCs w:val="20"/>
              </w:rPr>
              <w:t>Odstranění volné rohoviny, kontrola kůže včetně meziprstí a paznehtků.</w:t>
            </w:r>
          </w:p>
        </w:tc>
      </w:tr>
    </w:tbl>
    <w:p w:rsidR="00717A8F" w:rsidRPr="00E2227B" w:rsidRDefault="00717A8F" w:rsidP="00E66661">
      <w:pPr>
        <w:spacing w:line="264" w:lineRule="auto"/>
        <w:rPr>
          <w:b/>
        </w:rPr>
      </w:pPr>
      <w:r w:rsidRPr="00E2227B">
        <w:rPr>
          <w:b/>
        </w:rPr>
        <w:t>Perfektně provedená úprava ale neznamená, že oba paznehty musí zářit čistotou (spíše naopak!).</w:t>
      </w:r>
    </w:p>
    <w:p w:rsidR="00717A8F" w:rsidRPr="00211876" w:rsidRDefault="00717A8F" w:rsidP="00E66661">
      <w:pPr>
        <w:spacing w:line="264" w:lineRule="auto"/>
        <w:rPr>
          <w:rFonts w:cs="Tahoma"/>
          <w:spacing w:val="-4"/>
        </w:rPr>
      </w:pPr>
      <w:r w:rsidRPr="00211876">
        <w:rPr>
          <w:rFonts w:cs="Tahoma"/>
          <w:spacing w:val="-4"/>
        </w:rPr>
        <w:t>Ve vývoji je řada různých typů podkov ať v provedení, velikostech, tak v materiálech. Stále více se prosazují polyuretanové podkovy, které se neobrušují a díky velikosti netlačí na predileční místo vzniku Rusterholzova vředu.</w:t>
      </w:r>
    </w:p>
    <w:p w:rsidR="00717A8F" w:rsidRPr="00E2227B" w:rsidRDefault="00717A8F" w:rsidP="00E66661">
      <w:pPr>
        <w:spacing w:line="264" w:lineRule="auto"/>
        <w:rPr>
          <w:rFonts w:cs="Tahoma"/>
        </w:rPr>
      </w:pPr>
      <w:r w:rsidRPr="00E2227B">
        <w:rPr>
          <w:rFonts w:cs="Tahoma"/>
          <w:b/>
        </w:rPr>
        <w:t>Vředy vázat či nevázat?</w:t>
      </w:r>
      <w:r w:rsidRPr="00E2227B">
        <w:rPr>
          <w:rFonts w:cs="Tahoma"/>
        </w:rPr>
        <w:t xml:space="preserve"> Závisí na rozsahu procesu, hygienických podmínkách chovu a na tom, jak kvalitně je obvaz udělán a jak je zajištěno jeho obměňování. Pro provádění obvazů tak platí “</w:t>
      </w:r>
      <w:r w:rsidRPr="00E2227B">
        <w:rPr>
          <w:rFonts w:cs="Tahoma"/>
          <w:b/>
        </w:rPr>
        <w:t>Když dva dělají totéž, není to totéž”.</w:t>
      </w:r>
      <w:r w:rsidRPr="00E2227B">
        <w:rPr>
          <w:rFonts w:cs="Tahoma"/>
        </w:rPr>
        <w:t xml:space="preserve"> </w:t>
      </w:r>
    </w:p>
    <w:p w:rsidR="00717A8F" w:rsidRPr="00E2227B" w:rsidRDefault="00717A8F" w:rsidP="00E66661">
      <w:pPr>
        <w:spacing w:line="264" w:lineRule="auto"/>
        <w:rPr>
          <w:rFonts w:cs="Tahoma"/>
        </w:rPr>
      </w:pPr>
      <w:r w:rsidRPr="00E2227B">
        <w:rPr>
          <w:rFonts w:cs="Tahoma"/>
          <w:b/>
        </w:rPr>
        <w:t>Zajištění převazu s kontrolou hojení defektu jsou naprosto klíčové pro rozhodnutí, zda obvaz zakládat, či nikoliv</w:t>
      </w:r>
      <w:r w:rsidRPr="00E2227B">
        <w:rPr>
          <w:rFonts w:cs="Tahoma"/>
        </w:rPr>
        <w:t>.</w:t>
      </w:r>
    </w:p>
    <w:p w:rsidR="00717A8F" w:rsidRPr="00E2227B" w:rsidRDefault="00717A8F" w:rsidP="00E66661">
      <w:pPr>
        <w:spacing w:line="264" w:lineRule="auto"/>
        <w:rPr>
          <w:rFonts w:cs="Tahoma"/>
        </w:rPr>
      </w:pPr>
    </w:p>
    <w:p w:rsidR="00717A8F" w:rsidRPr="00E2227B" w:rsidRDefault="00717A8F" w:rsidP="00211876">
      <w:pPr>
        <w:numPr>
          <w:ilvl w:val="0"/>
          <w:numId w:val="19"/>
        </w:numPr>
        <w:ind w:left="426" w:hanging="426"/>
        <w:rPr>
          <w:rFonts w:cs="Tahoma"/>
          <w:b/>
        </w:rPr>
      </w:pPr>
      <w:r w:rsidRPr="00E2227B">
        <w:rPr>
          <w:rFonts w:cs="Tahoma"/>
          <w:b/>
        </w:rPr>
        <w:t>Dermatitis digitalis</w:t>
      </w:r>
    </w:p>
    <w:p w:rsidR="00717A8F" w:rsidRDefault="00717A8F" w:rsidP="00717A8F">
      <w:pPr>
        <w:spacing w:line="22" w:lineRule="atLeast"/>
        <w:rPr>
          <w:rFonts w:cs="Tahoma"/>
        </w:rPr>
      </w:pPr>
      <w:r w:rsidRPr="00E2227B">
        <w:rPr>
          <w:rFonts w:cs="Tahoma"/>
        </w:rPr>
        <w:t>Velká pozornost byla na konferenci</w:t>
      </w:r>
      <w:r w:rsidRPr="00A81537">
        <w:rPr>
          <w:rFonts w:cs="Tahoma"/>
        </w:rPr>
        <w:t xml:space="preserve"> věnována </w:t>
      </w:r>
      <w:r w:rsidRPr="00F6778F">
        <w:rPr>
          <w:rFonts w:cs="Tahoma"/>
        </w:rPr>
        <w:t xml:space="preserve">DD, </w:t>
      </w:r>
      <w:r w:rsidRPr="00A81537">
        <w:rPr>
          <w:rFonts w:cs="Tahoma"/>
        </w:rPr>
        <w:t xml:space="preserve">která podle nejnovějších studií patrně provází (v různých vlnách) zvíře celý život a </w:t>
      </w:r>
      <w:r w:rsidRPr="00F6778F">
        <w:rPr>
          <w:rFonts w:cs="Tahoma"/>
        </w:rPr>
        <w:t xml:space="preserve">lze ji považovat za </w:t>
      </w:r>
      <w:r w:rsidRPr="00F6778F">
        <w:rPr>
          <w:rFonts w:cs="Tahoma"/>
          <w:b/>
        </w:rPr>
        <w:t>celoživotní infekci</w:t>
      </w:r>
      <w:r w:rsidRPr="001555EA">
        <w:rPr>
          <w:rFonts w:cs="Tahoma"/>
        </w:rPr>
        <w:t xml:space="preserve">. </w:t>
      </w:r>
      <w:r w:rsidRPr="005703C3">
        <w:rPr>
          <w:rFonts w:cs="Tahoma"/>
        </w:rPr>
        <w:t xml:space="preserve">I když se jedná o </w:t>
      </w:r>
      <w:r>
        <w:rPr>
          <w:rFonts w:cs="Tahoma"/>
        </w:rPr>
        <w:t>„</w:t>
      </w:r>
      <w:r w:rsidRPr="005703C3">
        <w:rPr>
          <w:rFonts w:cs="Tahoma"/>
        </w:rPr>
        <w:t>pouhé postižení kůže</w:t>
      </w:r>
      <w:r>
        <w:rPr>
          <w:rFonts w:cs="Tahoma"/>
        </w:rPr>
        <w:t>“</w:t>
      </w:r>
      <w:r w:rsidRPr="005703C3">
        <w:rPr>
          <w:rFonts w:cs="Tahoma"/>
        </w:rPr>
        <w:t>,</w:t>
      </w:r>
      <w:r w:rsidRPr="00F6778F">
        <w:rPr>
          <w:rFonts w:cs="Tahoma"/>
        </w:rPr>
        <w:t xml:space="preserve"> </w:t>
      </w:r>
      <w:r w:rsidRPr="005703C3">
        <w:rPr>
          <w:rFonts w:cs="Tahoma"/>
        </w:rPr>
        <w:t xml:space="preserve">mívá dlouhodobé dopady na zdraví a užitkovost </w:t>
      </w:r>
      <w:r>
        <w:rPr>
          <w:rFonts w:cs="Tahoma"/>
        </w:rPr>
        <w:t>stáda</w:t>
      </w:r>
      <w:r w:rsidRPr="005703C3">
        <w:rPr>
          <w:rFonts w:cs="Tahoma"/>
        </w:rPr>
        <w:t>.</w:t>
      </w:r>
      <w:r>
        <w:rPr>
          <w:rFonts w:cs="Tahoma"/>
        </w:rPr>
        <w:t xml:space="preserve"> Dle Dr. Dӧrti Dӧpfer má 4 stádia: M0 žádná léze (klinicky zdravé zvíře), M1 začínající léze, M2 akutní forma (léze větší jak 2 cm), M3 hojící se (pokrývá se epitelem), M4 chronické stádium buď hyperkeratózní, či proliferativní. Ze stádia M4 může dojít k exacerbaci onemocnění, tj. ke vzniku stádia M4.1 akutní. Ale i v postižených chovech lze pozorovat různé kategorie jedinců od permanentně zdravých po permanentně postižená (M4 - M4.1 - M2), viz schéma. V infikovaných chovech tento problém většinou nemá konec a neustále v chovu koluje. </w:t>
      </w:r>
    </w:p>
    <w:p w:rsidR="00F55C49" w:rsidRDefault="00F55C49" w:rsidP="00717A8F">
      <w:pPr>
        <w:spacing w:line="22" w:lineRule="atLeast"/>
        <w:rPr>
          <w:rFonts w:cs="Tahoma"/>
        </w:rPr>
      </w:pPr>
    </w:p>
    <w:p w:rsidR="00717A8F" w:rsidRPr="00E66661" w:rsidRDefault="00717A8F" w:rsidP="00211876">
      <w:pPr>
        <w:pStyle w:val="Nadpis3"/>
        <w:rPr>
          <w:color w:val="215868" w:themeColor="accent5" w:themeShade="80"/>
        </w:rPr>
      </w:pPr>
      <w:r w:rsidRPr="00E66661">
        <w:rPr>
          <w:color w:val="215868" w:themeColor="accent5" w:themeShade="80"/>
        </w:rPr>
        <w:t>Schéma vývoje DD (Zinpro, 2017)</w:t>
      </w:r>
    </w:p>
    <w:p w:rsidR="00717A8F" w:rsidRDefault="00717A8F" w:rsidP="00717A8F">
      <w:pPr>
        <w:rPr>
          <w:rFonts w:cs="Tahoma"/>
        </w:rPr>
      </w:pPr>
      <w:r>
        <w:rPr>
          <w:noProof/>
        </w:rPr>
        <w:drawing>
          <wp:inline distT="0" distB="0" distL="0" distR="0" wp14:anchorId="6FDD2B2B" wp14:editId="12CE1120">
            <wp:extent cx="3943350" cy="2941740"/>
            <wp:effectExtent l="0" t="0" r="0" b="0"/>
            <wp:docPr id="31754" name="Picture 1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4" name="Picture 12" descr="Související obráze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5609" cy="2943425"/>
                    </a:xfrm>
                    <a:prstGeom prst="rect">
                      <a:avLst/>
                    </a:prstGeom>
                    <a:noFill/>
                    <a:ln>
                      <a:noFill/>
                    </a:ln>
                    <a:extLst/>
                  </pic:spPr>
                </pic:pic>
              </a:graphicData>
            </a:graphic>
          </wp:inline>
        </w:drawing>
      </w:r>
    </w:p>
    <w:p w:rsidR="00717A8F" w:rsidRDefault="00717A8F" w:rsidP="00717A8F">
      <w:pPr>
        <w:rPr>
          <w:rFonts w:cs="Tahoma"/>
        </w:rPr>
      </w:pPr>
      <w:r w:rsidRPr="00DE7757">
        <w:rPr>
          <w:rFonts w:cs="Tahoma"/>
        </w:rPr>
        <w:lastRenderedPageBreak/>
        <w:t>Zásadní</w:t>
      </w:r>
      <w:r>
        <w:rPr>
          <w:rFonts w:cs="Tahoma"/>
        </w:rPr>
        <w:t xml:space="preserve"> je pochopení</w:t>
      </w:r>
      <w:r w:rsidRPr="00DE7757">
        <w:rPr>
          <w:rFonts w:cs="Tahoma"/>
        </w:rPr>
        <w:t>, že pro tlumení tohoto onemocnění j</w:t>
      </w:r>
      <w:r>
        <w:rPr>
          <w:rFonts w:cs="Tahoma"/>
        </w:rPr>
        <w:t xml:space="preserve">e nutný celý systém </w:t>
      </w:r>
      <w:r w:rsidRPr="00DE7757">
        <w:rPr>
          <w:rFonts w:cs="Tahoma"/>
        </w:rPr>
        <w:t xml:space="preserve">opatření </w:t>
      </w:r>
      <w:r>
        <w:rPr>
          <w:rFonts w:cs="Tahoma"/>
        </w:rPr>
        <w:t xml:space="preserve">a že </w:t>
      </w:r>
      <w:r w:rsidRPr="00DE7757">
        <w:rPr>
          <w:rFonts w:cs="Tahoma"/>
        </w:rPr>
        <w:t>koupele</w:t>
      </w:r>
      <w:r>
        <w:rPr>
          <w:rFonts w:cs="Tahoma"/>
        </w:rPr>
        <w:t xml:space="preserve"> jsou pouhým jedním jeho článkem (a to ještě relativně diskutabilním). Pro lokální léčbu DD se nabízí řada přípravků, které by měly být alternativou ATB sprayů - např. polyuretanová náplast, přípravky na bázi mědi, či kyseliny salicylové. </w:t>
      </w:r>
    </w:p>
    <w:p w:rsidR="00717A8F" w:rsidRDefault="00717A8F" w:rsidP="00211876">
      <w:pPr>
        <w:spacing w:after="240"/>
        <w:rPr>
          <w:rFonts w:cs="Tahoma"/>
        </w:rPr>
      </w:pPr>
      <w:r w:rsidRPr="0004218F">
        <w:rPr>
          <w:rFonts w:cs="Tahoma"/>
          <w:spacing w:val="-4"/>
        </w:rPr>
        <w:t>Pro chovy usilující o kontrolu nad výskytem tohoto onemocnění, resp. o eliminaci klinických příznaků je navrhován</w:t>
      </w:r>
      <w:r>
        <w:rPr>
          <w:rFonts w:cs="Tahoma"/>
        </w:rPr>
        <w:t xml:space="preserve"> </w:t>
      </w:r>
      <w:r w:rsidR="0004218F">
        <w:rPr>
          <w:rFonts w:cs="Tahoma"/>
        </w:rPr>
        <w:br/>
      </w:r>
      <w:r w:rsidRPr="009B2707">
        <w:rPr>
          <w:rFonts w:cs="Tahoma"/>
        </w:rPr>
        <w:t>5-ti bodov</w:t>
      </w:r>
      <w:r>
        <w:rPr>
          <w:rFonts w:cs="Tahoma"/>
        </w:rPr>
        <w:t>ý</w:t>
      </w:r>
      <w:r w:rsidRPr="009B2707">
        <w:rPr>
          <w:rFonts w:cs="Tahoma"/>
        </w:rPr>
        <w:t xml:space="preserve"> plán </w:t>
      </w:r>
      <w:r>
        <w:rPr>
          <w:rFonts w:cs="Tahoma"/>
        </w:rPr>
        <w:t>„</w:t>
      </w:r>
      <w:r w:rsidRPr="009B2707">
        <w:rPr>
          <w:rFonts w:cs="Tahoma"/>
        </w:rPr>
        <w:t>boj</w:t>
      </w:r>
      <w:r>
        <w:rPr>
          <w:rFonts w:cs="Tahoma"/>
        </w:rPr>
        <w:t>e</w:t>
      </w:r>
      <w:r w:rsidRPr="009B2707">
        <w:rPr>
          <w:rFonts w:cs="Tahoma"/>
        </w:rPr>
        <w:t xml:space="preserve"> s DD“</w:t>
      </w:r>
      <w:r>
        <w:rPr>
          <w:rFonts w:cs="Tahoma"/>
        </w:rPr>
        <w:t xml:space="preserve"> (DeLaval, 2017).</w:t>
      </w:r>
    </w:p>
    <w:tbl>
      <w:tblPr>
        <w:tblStyle w:val="Mkatabulky"/>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0118"/>
      </w:tblGrid>
      <w:tr w:rsidR="00211876" w:rsidRPr="00211876" w:rsidTr="00211876">
        <w:trPr>
          <w:trHeight w:val="5371"/>
        </w:trPr>
        <w:tc>
          <w:tcPr>
            <w:tcW w:w="10118" w:type="dxa"/>
            <w:shd w:val="clear" w:color="auto" w:fill="DAEEF3" w:themeFill="accent5" w:themeFillTint="33"/>
          </w:tcPr>
          <w:p w:rsidR="00211876" w:rsidRPr="00211876" w:rsidRDefault="00211876" w:rsidP="00211876">
            <w:pPr>
              <w:numPr>
                <w:ilvl w:val="0"/>
                <w:numId w:val="22"/>
              </w:numPr>
              <w:spacing w:line="240" w:lineRule="auto"/>
              <w:rPr>
                <w:rFonts w:cs="Tahoma"/>
                <w:szCs w:val="20"/>
              </w:rPr>
            </w:pPr>
            <w:r w:rsidRPr="00211876">
              <w:rPr>
                <w:rFonts w:cs="Tahoma"/>
                <w:szCs w:val="20"/>
              </w:rPr>
              <w:t>Vnější biosekurita/bezpečnost - obrana proti zavlečení DD (příp. nového kmene) do chovu</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Zavlečení zvířaty s neznámým DD – statusem</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Zavlečení DD nástroji a návštěvníky (paznehtář, veterinární lékař)</w:t>
            </w:r>
          </w:p>
          <w:p w:rsidR="00211876" w:rsidRPr="00211876" w:rsidRDefault="00211876" w:rsidP="00211876">
            <w:pPr>
              <w:numPr>
                <w:ilvl w:val="0"/>
                <w:numId w:val="22"/>
              </w:numPr>
              <w:spacing w:line="240" w:lineRule="auto"/>
              <w:rPr>
                <w:rFonts w:cs="Tahoma"/>
                <w:szCs w:val="20"/>
              </w:rPr>
            </w:pPr>
            <w:r w:rsidRPr="00211876">
              <w:rPr>
                <w:rFonts w:cs="Tahoma"/>
                <w:szCs w:val="20"/>
              </w:rPr>
              <w:t>Vnitřní biosekurita, tj. snížení stresu, infekčního tlaku a přenosu mezi kravami</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Optimalizace komfortu krav (klima, chůze, ležení, příjem KD, atd.)</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Zamezení přenosu mezi kravami (manipulace se skupinami, vyhrnování kejdy, atd.)</w:t>
            </w:r>
          </w:p>
          <w:p w:rsidR="00211876" w:rsidRPr="00211876" w:rsidRDefault="00211876" w:rsidP="00211876">
            <w:pPr>
              <w:numPr>
                <w:ilvl w:val="0"/>
                <w:numId w:val="22"/>
              </w:numPr>
              <w:spacing w:line="240" w:lineRule="auto"/>
              <w:rPr>
                <w:rFonts w:cs="Tahoma"/>
                <w:szCs w:val="20"/>
              </w:rPr>
            </w:pPr>
            <w:r w:rsidRPr="00211876">
              <w:rPr>
                <w:rFonts w:cs="Tahoma"/>
                <w:szCs w:val="20"/>
              </w:rPr>
              <w:t xml:space="preserve">Časné rozpoznání, dokumentace a léčba klinických případů ve spojení s péči o paznehty </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Sledování zvířat</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Okamžitá léčba při „podezření“</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Dokumentace a kontrola nálezů a výsledků léčby</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Pravidelná úprava paznehtů</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Vyřazování chronicky nemocných zvířat z chovu</w:t>
            </w:r>
          </w:p>
          <w:p w:rsidR="00211876" w:rsidRPr="00211876" w:rsidRDefault="00211876" w:rsidP="00211876">
            <w:pPr>
              <w:numPr>
                <w:ilvl w:val="0"/>
                <w:numId w:val="22"/>
              </w:numPr>
              <w:spacing w:line="240" w:lineRule="auto"/>
              <w:rPr>
                <w:rFonts w:cs="Tahoma"/>
                <w:szCs w:val="20"/>
              </w:rPr>
            </w:pPr>
            <w:r w:rsidRPr="00211876">
              <w:rPr>
                <w:rFonts w:cs="Tahoma"/>
                <w:szCs w:val="20"/>
              </w:rPr>
              <w:t>Pravidelné používání registrovaných biocidů k zooveterinární hygieně</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Přímo na kůži</w:t>
            </w:r>
          </w:p>
          <w:p w:rsidR="00211876" w:rsidRPr="00211876" w:rsidRDefault="00211876" w:rsidP="00211876">
            <w:pPr>
              <w:numPr>
                <w:ilvl w:val="1"/>
                <w:numId w:val="21"/>
              </w:numPr>
              <w:spacing w:before="60" w:line="240" w:lineRule="auto"/>
              <w:ind w:left="1434" w:hanging="357"/>
              <w:rPr>
                <w:rFonts w:cs="Tahoma"/>
                <w:szCs w:val="20"/>
              </w:rPr>
            </w:pPr>
            <w:r w:rsidRPr="00211876">
              <w:rPr>
                <w:rFonts w:cs="Tahoma"/>
                <w:szCs w:val="20"/>
              </w:rPr>
              <w:t>Dezinfekční koupele paznehtů</w:t>
            </w:r>
          </w:p>
          <w:p w:rsidR="00211876" w:rsidRPr="00211876" w:rsidRDefault="00211876" w:rsidP="00211876">
            <w:pPr>
              <w:numPr>
                <w:ilvl w:val="0"/>
                <w:numId w:val="22"/>
              </w:numPr>
              <w:spacing w:line="240" w:lineRule="auto"/>
              <w:rPr>
                <w:rFonts w:cs="Tahoma"/>
                <w:szCs w:val="20"/>
              </w:rPr>
            </w:pPr>
            <w:r w:rsidRPr="00211876">
              <w:rPr>
                <w:rFonts w:cs="Tahoma"/>
                <w:szCs w:val="20"/>
              </w:rPr>
              <w:t>Stanovení a sledování cílů na poli zdraví paznehtů</w:t>
            </w:r>
          </w:p>
        </w:tc>
      </w:tr>
    </w:tbl>
    <w:p w:rsidR="00211876" w:rsidRPr="009B2707" w:rsidRDefault="00211876" w:rsidP="00717A8F">
      <w:pPr>
        <w:rPr>
          <w:rFonts w:cs="Tahoma"/>
        </w:rPr>
      </w:pPr>
    </w:p>
    <w:p w:rsidR="00717A8F" w:rsidRPr="00720CD5" w:rsidRDefault="00717A8F" w:rsidP="00ED0BEA">
      <w:pPr>
        <w:numPr>
          <w:ilvl w:val="0"/>
          <w:numId w:val="22"/>
        </w:numPr>
        <w:ind w:left="426" w:hanging="426"/>
        <w:rPr>
          <w:rFonts w:cs="Tahoma"/>
          <w:b/>
        </w:rPr>
      </w:pPr>
      <w:r w:rsidRPr="00720CD5">
        <w:rPr>
          <w:rFonts w:cs="Tahoma"/>
          <w:b/>
        </w:rPr>
        <w:t xml:space="preserve">Evidence onemocnění paznehtů </w:t>
      </w:r>
    </w:p>
    <w:p w:rsidR="00717A8F" w:rsidRDefault="00717A8F" w:rsidP="00717A8F">
      <w:pPr>
        <w:rPr>
          <w:rFonts w:cs="Tahoma"/>
        </w:rPr>
      </w:pPr>
      <w:r w:rsidRPr="00C87251">
        <w:rPr>
          <w:rFonts w:cs="Tahoma"/>
        </w:rPr>
        <w:t xml:space="preserve">Zásadním pomocníkem jak </w:t>
      </w:r>
      <w:r w:rsidRPr="0082014F">
        <w:rPr>
          <w:rFonts w:cs="Tahoma"/>
        </w:rPr>
        <w:t>v</w:t>
      </w:r>
      <w:r w:rsidRPr="00580895">
        <w:rPr>
          <w:rFonts w:cs="Tahoma"/>
        </w:rPr>
        <w:t xml:space="preserve"> </w:t>
      </w:r>
      <w:r w:rsidRPr="00C87251">
        <w:rPr>
          <w:rFonts w:cs="Tahoma"/>
        </w:rPr>
        <w:t>„boji“ proti DD, tak ve zlepšování zdraví vlastních paznehtů je potom dobrá, nejlépe elektronická</w:t>
      </w:r>
      <w:r w:rsidRPr="00FC1EEE">
        <w:rPr>
          <w:rFonts w:cs="Tahoma"/>
          <w:b/>
        </w:rPr>
        <w:t xml:space="preserve"> evidence </w:t>
      </w:r>
      <w:r>
        <w:rPr>
          <w:rFonts w:cs="Tahoma"/>
          <w:b/>
        </w:rPr>
        <w:t>nálezů na</w:t>
      </w:r>
      <w:r w:rsidRPr="00FC1EEE">
        <w:rPr>
          <w:rFonts w:cs="Tahoma"/>
          <w:b/>
        </w:rPr>
        <w:t xml:space="preserve"> pazneht</w:t>
      </w:r>
      <w:r>
        <w:rPr>
          <w:rFonts w:cs="Tahoma"/>
          <w:b/>
        </w:rPr>
        <w:t>ech</w:t>
      </w:r>
      <w:r>
        <w:rPr>
          <w:rFonts w:cs="Tahoma"/>
        </w:rPr>
        <w:t xml:space="preserve"> a její následné vyhodnocení, na které může navazovat návrh opatření pro zlepšení aktuálního stavu. </w:t>
      </w:r>
    </w:p>
    <w:p w:rsidR="00ED0BEA" w:rsidRDefault="00ED0BEA" w:rsidP="00717A8F">
      <w:pPr>
        <w:rPr>
          <w:rFonts w:cs="Tahoma"/>
        </w:rPr>
      </w:pPr>
    </w:p>
    <w:tbl>
      <w:tblPr>
        <w:tblStyle w:val="Mkatabulky"/>
        <w:tblW w:w="0" w:type="auto"/>
        <w:tblBorders>
          <w:top w:val="none" w:sz="0" w:space="0" w:color="auto"/>
          <w:left w:val="none" w:sz="0" w:space="0" w:color="auto"/>
          <w:bottom w:val="single" w:sz="4" w:space="0" w:color="215868" w:themeColor="accent5" w:themeShade="80"/>
          <w:right w:val="none" w:sz="0" w:space="0" w:color="auto"/>
          <w:insideH w:val="single" w:sz="4" w:space="0" w:color="215868" w:themeColor="accent5" w:themeShade="80"/>
          <w:insideV w:val="none" w:sz="0" w:space="0" w:color="auto"/>
        </w:tblBorders>
        <w:tblLayout w:type="fixed"/>
        <w:tblLook w:val="04A0" w:firstRow="1" w:lastRow="0" w:firstColumn="1" w:lastColumn="0" w:noHBand="0" w:noVBand="1"/>
      </w:tblPr>
      <w:tblGrid>
        <w:gridCol w:w="5495"/>
        <w:gridCol w:w="4699"/>
      </w:tblGrid>
      <w:tr w:rsidR="00ED0BEA" w:rsidTr="00ED0BEA">
        <w:trPr>
          <w:trHeight w:val="1308"/>
        </w:trPr>
        <w:tc>
          <w:tcPr>
            <w:tcW w:w="5495" w:type="dxa"/>
            <w:tcBorders>
              <w:top w:val="nil"/>
              <w:bottom w:val="single" w:sz="2" w:space="0" w:color="215868" w:themeColor="accent5" w:themeShade="80"/>
              <w:right w:val="single" w:sz="2" w:space="0" w:color="215868" w:themeColor="accent5" w:themeShade="80"/>
            </w:tcBorders>
            <w:shd w:val="clear" w:color="auto" w:fill="DAEEF3" w:themeFill="accent5" w:themeFillTint="33"/>
          </w:tcPr>
          <w:p w:rsidR="00ED0BEA" w:rsidRDefault="00ED0BEA" w:rsidP="004515E8">
            <w:pPr>
              <w:jc w:val="left"/>
              <w:rPr>
                <w:rFonts w:cs="Tahoma"/>
              </w:rPr>
            </w:pPr>
            <w:r>
              <w:rPr>
                <w:rFonts w:cs="Tahoma"/>
              </w:rPr>
              <w:t>K evidenci výskytu lézí/nemocí na paznehtech</w:t>
            </w:r>
            <w:r w:rsidRPr="001555EA">
              <w:rPr>
                <w:rFonts w:cs="Tahoma"/>
              </w:rPr>
              <w:t xml:space="preserve"> </w:t>
            </w:r>
            <w:r>
              <w:rPr>
                <w:rFonts w:cs="Tahoma"/>
              </w:rPr>
              <w:t xml:space="preserve">je již nyní k dispozici </w:t>
            </w:r>
            <w:r w:rsidRPr="004C1BA6">
              <w:rPr>
                <w:rFonts w:cs="Tahoma"/>
                <w:b/>
              </w:rPr>
              <w:t>do českého jazyka přeložený ICAR atlas zdraví paznehtů</w:t>
            </w:r>
            <w:r>
              <w:rPr>
                <w:rFonts w:cs="Tahoma"/>
              </w:rPr>
              <w:t>, který přeložila MVDr. Šlosárková a</w:t>
            </w:r>
            <w:r w:rsidR="004515E8">
              <w:rPr>
                <w:rFonts w:cs="Tahoma"/>
              </w:rPr>
              <w:t> </w:t>
            </w:r>
            <w:r>
              <w:rPr>
                <w:rFonts w:cs="Tahoma"/>
              </w:rPr>
              <w:t xml:space="preserve">MVDr. </w:t>
            </w:r>
            <w:r w:rsidRPr="001555EA">
              <w:rPr>
                <w:rFonts w:cs="Tahoma"/>
              </w:rPr>
              <w:t>Fleischer.</w:t>
            </w:r>
            <w:r>
              <w:rPr>
                <w:rFonts w:cs="Tahoma"/>
              </w:rPr>
              <w:t xml:space="preserve"> </w:t>
            </w:r>
          </w:p>
        </w:tc>
        <w:tc>
          <w:tcPr>
            <w:tcW w:w="4699" w:type="dxa"/>
            <w:vMerge w:val="restart"/>
            <w:tcBorders>
              <w:top w:val="single" w:sz="2" w:space="0" w:color="215868" w:themeColor="accent5" w:themeShade="80"/>
              <w:left w:val="single" w:sz="2" w:space="0" w:color="215868" w:themeColor="accent5" w:themeShade="80"/>
              <w:bottom w:val="nil"/>
              <w:right w:val="single" w:sz="2" w:space="0" w:color="215868" w:themeColor="accent5" w:themeShade="80"/>
            </w:tcBorders>
          </w:tcPr>
          <w:p w:rsidR="00ED0BEA" w:rsidRDefault="00ED0BEA" w:rsidP="00717A8F">
            <w:pPr>
              <w:rPr>
                <w:rFonts w:cs="Tahoma"/>
              </w:rPr>
            </w:pPr>
            <w:r w:rsidRPr="001C3C92">
              <w:rPr>
                <w:rFonts w:cs="Tahoma"/>
              </w:rPr>
              <w:object w:dxaOrig="12630" w:dyaOrig="8925">
                <v:shape id="_x0000_i1026" type="#_x0000_t75" style="width:240.6pt;height:170pt;mso-position-horizontal:absolute;mso-position-vertical:absolute" o:ole="">
                  <v:imagedata r:id="rId43" o:title=""/>
                </v:shape>
                <o:OLEObject Type="Embed" ProgID="AcroExch.Document.DC" ShapeID="_x0000_i1026" DrawAspect="Content" ObjectID="_1571663458" r:id="rId44"/>
              </w:object>
            </w:r>
          </w:p>
        </w:tc>
      </w:tr>
      <w:tr w:rsidR="00ED0BEA" w:rsidTr="00ED0BEA">
        <w:trPr>
          <w:trHeight w:val="1980"/>
        </w:trPr>
        <w:tc>
          <w:tcPr>
            <w:tcW w:w="5495" w:type="dxa"/>
            <w:tcBorders>
              <w:top w:val="single" w:sz="2" w:space="0" w:color="215868" w:themeColor="accent5" w:themeShade="80"/>
              <w:right w:val="single" w:sz="2" w:space="0" w:color="215868" w:themeColor="accent5" w:themeShade="80"/>
            </w:tcBorders>
            <w:vAlign w:val="center"/>
          </w:tcPr>
          <w:p w:rsidR="00ED0BEA" w:rsidRDefault="00ED0BEA" w:rsidP="00ED0BEA">
            <w:pPr>
              <w:jc w:val="left"/>
              <w:rPr>
                <w:rFonts w:cs="Tahoma"/>
              </w:rPr>
            </w:pPr>
            <w:r>
              <w:rPr>
                <w:rFonts w:cs="Tahoma"/>
              </w:rPr>
              <w:t>Teto obrazový atlas onemocnění paznehtů a kůže k nim přiléhající, který usnadňuje správné rozpoznání lézí/nemocí</w:t>
            </w:r>
            <w:r w:rsidRPr="004C1BA6">
              <w:rPr>
                <w:rFonts w:cs="Tahoma"/>
                <w:b/>
              </w:rPr>
              <w:t xml:space="preserve">, je nyní k dispozici na webových stránkách VÚVeL Brno </w:t>
            </w:r>
            <w:r w:rsidRPr="00ED0BEA">
              <w:rPr>
                <w:rFonts w:cs="Tahoma"/>
                <w:b/>
                <w:color w:val="4BACC6" w:themeColor="accent5"/>
                <w:spacing w:val="-4"/>
                <w:sz w:val="18"/>
                <w:szCs w:val="18"/>
              </w:rPr>
              <w:t xml:space="preserve">https://www.vri.cz/cz/spoluprace__s_praxi/zdravi_zvirat </w:t>
            </w:r>
            <w:r>
              <w:rPr>
                <w:rFonts w:cs="Tahoma"/>
              </w:rPr>
              <w:t>stejně jako na stránkách ICAR organizace.</w:t>
            </w:r>
          </w:p>
        </w:tc>
        <w:tc>
          <w:tcPr>
            <w:tcW w:w="4699" w:type="dxa"/>
            <w:vMerge/>
            <w:tcBorders>
              <w:top w:val="nil"/>
              <w:left w:val="single" w:sz="2" w:space="0" w:color="215868" w:themeColor="accent5" w:themeShade="80"/>
              <w:bottom w:val="single" w:sz="2" w:space="0" w:color="215868" w:themeColor="accent5" w:themeShade="80"/>
              <w:right w:val="single" w:sz="2" w:space="0" w:color="215868" w:themeColor="accent5" w:themeShade="80"/>
            </w:tcBorders>
          </w:tcPr>
          <w:p w:rsidR="00ED0BEA" w:rsidRPr="001C3C92" w:rsidRDefault="00ED0BEA" w:rsidP="00717A8F">
            <w:pPr>
              <w:rPr>
                <w:rFonts w:cs="Tahoma"/>
              </w:rPr>
            </w:pPr>
          </w:p>
        </w:tc>
      </w:tr>
    </w:tbl>
    <w:p w:rsidR="00ED0BEA" w:rsidRDefault="00ED0BEA" w:rsidP="00717A8F">
      <w:pPr>
        <w:rPr>
          <w:rFonts w:cs="Tahoma"/>
        </w:rPr>
      </w:pPr>
    </w:p>
    <w:p w:rsidR="001A30E1" w:rsidRDefault="001A30E1" w:rsidP="00F41770">
      <w:pPr>
        <w:pStyle w:val="Nadpis3"/>
        <w:rPr>
          <w:color w:val="215868" w:themeColor="accent5" w:themeShade="80"/>
        </w:rPr>
        <w:sectPr w:rsidR="001A30E1" w:rsidSect="001A30E1">
          <w:pgSz w:w="11906" w:h="16838" w:code="9"/>
          <w:pgMar w:top="1134" w:right="964" w:bottom="1134" w:left="964" w:header="680" w:footer="624" w:gutter="0"/>
          <w:cols w:space="708"/>
          <w:docGrid w:linePitch="360"/>
        </w:sectPr>
      </w:pPr>
    </w:p>
    <w:p w:rsidR="00717A8F" w:rsidRPr="00A02BF4" w:rsidRDefault="00717A8F" w:rsidP="00A02BF4">
      <w:pPr>
        <w:pStyle w:val="Nadpis3"/>
        <w:ind w:left="567" w:hanging="567"/>
        <w:rPr>
          <w:b/>
          <w:color w:val="215868" w:themeColor="accent5" w:themeShade="80"/>
          <w:spacing w:val="-4"/>
          <w:szCs w:val="20"/>
        </w:rPr>
      </w:pPr>
      <w:r w:rsidRPr="00A02BF4">
        <w:rPr>
          <w:color w:val="215868" w:themeColor="accent5" w:themeShade="80"/>
          <w:spacing w:val="-4"/>
          <w:szCs w:val="20"/>
        </w:rPr>
        <w:lastRenderedPageBreak/>
        <w:t xml:space="preserve">Tab. 1 </w:t>
      </w:r>
      <w:r w:rsidR="00A02BF4" w:rsidRPr="00A02BF4">
        <w:rPr>
          <w:color w:val="215868" w:themeColor="accent5" w:themeShade="80"/>
          <w:spacing w:val="-4"/>
          <w:szCs w:val="20"/>
        </w:rPr>
        <w:t xml:space="preserve">Názvy, definice a členění poruch/nemocí paznehtů v ICAR Atlasu zdraví paznehtů </w:t>
      </w:r>
      <w:r w:rsidR="00A02BF4">
        <w:rPr>
          <w:color w:val="215868" w:themeColor="accent5" w:themeShade="80"/>
          <w:spacing w:val="-4"/>
          <w:szCs w:val="20"/>
        </w:rPr>
        <w:br/>
      </w:r>
      <w:r w:rsidR="00A02BF4" w:rsidRPr="00A02BF4">
        <w:rPr>
          <w:color w:val="215868" w:themeColor="accent5" w:themeShade="80"/>
          <w:spacing w:val="-4"/>
          <w:szCs w:val="20"/>
        </w:rPr>
        <w:t>(ICAR Atlas zdraví paznehtů, 2017)</w:t>
      </w:r>
    </w:p>
    <w:tbl>
      <w:tblPr>
        <w:tblW w:w="5000" w:type="pct"/>
        <w:tblBorders>
          <w:top w:val="single" w:sz="2" w:space="0" w:color="215868" w:themeColor="accent5" w:themeShade="80"/>
          <w:left w:val="single" w:sz="2" w:space="0" w:color="215868" w:themeColor="accent5" w:themeShade="80"/>
          <w:bottom w:val="single" w:sz="2" w:space="0" w:color="215868" w:themeColor="accent5" w:themeShade="80"/>
          <w:right w:val="single" w:sz="2" w:space="0" w:color="215868" w:themeColor="accent5" w:themeShade="80"/>
          <w:insideH w:val="single" w:sz="2" w:space="0" w:color="215868" w:themeColor="accent5" w:themeShade="80"/>
          <w:insideV w:val="single" w:sz="2" w:space="0" w:color="215868" w:themeColor="accent5" w:themeShade="80"/>
        </w:tblBorders>
        <w:tblLayout w:type="fixed"/>
        <w:tblLook w:val="00A0" w:firstRow="1" w:lastRow="0" w:firstColumn="1" w:lastColumn="0" w:noHBand="0" w:noVBand="0"/>
      </w:tblPr>
      <w:tblGrid>
        <w:gridCol w:w="1680"/>
        <w:gridCol w:w="798"/>
        <w:gridCol w:w="5146"/>
        <w:gridCol w:w="1840"/>
        <w:gridCol w:w="730"/>
      </w:tblGrid>
      <w:tr w:rsidR="001A30E1" w:rsidRPr="001A30E1" w:rsidTr="001A30E1">
        <w:trPr>
          <w:trHeight w:val="113"/>
        </w:trPr>
        <w:tc>
          <w:tcPr>
            <w:tcW w:w="1680" w:type="dxa"/>
            <w:shd w:val="clear" w:color="auto" w:fill="DAEEF3" w:themeFill="accent5" w:themeFillTint="33"/>
            <w:vAlign w:val="center"/>
          </w:tcPr>
          <w:p w:rsidR="00717A8F" w:rsidRPr="001A30E1" w:rsidRDefault="00717A8F" w:rsidP="001A30E1">
            <w:pPr>
              <w:spacing w:before="0" w:line="240" w:lineRule="auto"/>
              <w:jc w:val="left"/>
              <w:rPr>
                <w:rFonts w:cs="Tahoma"/>
                <w:bCs/>
                <w:color w:val="auto"/>
                <w:sz w:val="17"/>
                <w:szCs w:val="17"/>
              </w:rPr>
            </w:pPr>
            <w:r w:rsidRPr="001A30E1">
              <w:rPr>
                <w:rFonts w:cs="Tahoma"/>
                <w:bCs/>
                <w:color w:val="auto"/>
                <w:sz w:val="17"/>
                <w:szCs w:val="17"/>
              </w:rPr>
              <w:t>Název</w:t>
            </w:r>
          </w:p>
        </w:tc>
        <w:tc>
          <w:tcPr>
            <w:tcW w:w="798" w:type="dxa"/>
            <w:shd w:val="clear" w:color="auto" w:fill="DAEEF3" w:themeFill="accent5" w:themeFillTint="33"/>
            <w:vAlign w:val="center"/>
          </w:tcPr>
          <w:p w:rsidR="00717A8F" w:rsidRPr="001A30E1" w:rsidRDefault="00717A8F" w:rsidP="001A30E1">
            <w:pPr>
              <w:spacing w:before="0" w:line="240" w:lineRule="auto"/>
              <w:jc w:val="center"/>
              <w:rPr>
                <w:rFonts w:cs="Tahoma"/>
                <w:bCs/>
                <w:color w:val="auto"/>
                <w:sz w:val="16"/>
                <w:szCs w:val="16"/>
              </w:rPr>
            </w:pPr>
            <w:r w:rsidRPr="001A30E1">
              <w:rPr>
                <w:rFonts w:cs="Tahoma"/>
                <w:bCs/>
                <w:color w:val="auto"/>
                <w:sz w:val="16"/>
                <w:szCs w:val="16"/>
              </w:rPr>
              <w:t>Zkratka</w:t>
            </w:r>
          </w:p>
        </w:tc>
        <w:tc>
          <w:tcPr>
            <w:tcW w:w="5146" w:type="dxa"/>
            <w:shd w:val="clear" w:color="auto" w:fill="DAEEF3" w:themeFill="accent5" w:themeFillTint="33"/>
            <w:vAlign w:val="center"/>
          </w:tcPr>
          <w:p w:rsidR="00717A8F" w:rsidRPr="001A30E1" w:rsidRDefault="00717A8F" w:rsidP="001A30E1">
            <w:pPr>
              <w:spacing w:before="0" w:line="240" w:lineRule="auto"/>
              <w:jc w:val="left"/>
              <w:rPr>
                <w:rFonts w:cs="Tahoma"/>
                <w:bCs/>
                <w:color w:val="auto"/>
                <w:sz w:val="17"/>
                <w:szCs w:val="17"/>
              </w:rPr>
            </w:pPr>
            <w:r w:rsidRPr="001A30E1">
              <w:rPr>
                <w:rFonts w:cs="Tahoma"/>
                <w:bCs/>
                <w:color w:val="auto"/>
                <w:sz w:val="17"/>
                <w:szCs w:val="17"/>
              </w:rPr>
              <w:t>Popis/definice</w:t>
            </w:r>
          </w:p>
        </w:tc>
        <w:tc>
          <w:tcPr>
            <w:tcW w:w="1840" w:type="dxa"/>
            <w:shd w:val="clear" w:color="auto" w:fill="DAEEF3" w:themeFill="accent5" w:themeFillTint="33"/>
            <w:vAlign w:val="center"/>
          </w:tcPr>
          <w:p w:rsidR="00717A8F" w:rsidRPr="001A30E1" w:rsidRDefault="00717A8F" w:rsidP="001A30E1">
            <w:pPr>
              <w:spacing w:before="0" w:line="240" w:lineRule="auto"/>
              <w:jc w:val="left"/>
              <w:rPr>
                <w:rFonts w:cs="Tahoma"/>
                <w:bCs/>
                <w:color w:val="auto"/>
                <w:sz w:val="17"/>
                <w:szCs w:val="17"/>
              </w:rPr>
            </w:pPr>
            <w:r w:rsidRPr="001A30E1">
              <w:rPr>
                <w:rFonts w:cs="Tahoma"/>
                <w:bCs/>
                <w:color w:val="auto"/>
                <w:sz w:val="17"/>
                <w:szCs w:val="17"/>
              </w:rPr>
              <w:t>Synonyma</w:t>
            </w:r>
          </w:p>
        </w:tc>
        <w:tc>
          <w:tcPr>
            <w:tcW w:w="730" w:type="dxa"/>
            <w:shd w:val="clear" w:color="auto" w:fill="DAEEF3" w:themeFill="accent5" w:themeFillTint="33"/>
            <w:vAlign w:val="center"/>
          </w:tcPr>
          <w:p w:rsidR="00717A8F" w:rsidRPr="001A30E1" w:rsidRDefault="00717A8F" w:rsidP="001A30E1">
            <w:pPr>
              <w:spacing w:before="0" w:line="240" w:lineRule="auto"/>
              <w:jc w:val="center"/>
              <w:rPr>
                <w:rFonts w:cs="Tahoma"/>
                <w:bCs/>
                <w:color w:val="auto"/>
                <w:sz w:val="17"/>
                <w:szCs w:val="17"/>
              </w:rPr>
            </w:pPr>
            <w:r w:rsidRPr="001A30E1">
              <w:rPr>
                <w:rFonts w:cs="Tahoma"/>
                <w:bCs/>
                <w:color w:val="auto"/>
                <w:sz w:val="17"/>
                <w:szCs w:val="17"/>
              </w:rPr>
              <w:t xml:space="preserve">Strana </w:t>
            </w:r>
            <w:r w:rsidR="001A30E1">
              <w:rPr>
                <w:rFonts w:cs="Tahoma"/>
                <w:bCs/>
                <w:color w:val="auto"/>
                <w:sz w:val="17"/>
                <w:szCs w:val="17"/>
              </w:rPr>
              <w:br/>
            </w:r>
            <w:r w:rsidRPr="001A30E1">
              <w:rPr>
                <w:rFonts w:cs="Tahoma"/>
                <w:bCs/>
                <w:color w:val="auto"/>
                <w:sz w:val="17"/>
                <w:szCs w:val="17"/>
              </w:rPr>
              <w:t>atlasu</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Asymetrické paznehty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AP</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Výrazný rozdíl v šířce, výšce a/nebo délce mezi vnějším a vnitřním paznehtem, který nemůže být odstraněn úpravou paznehtů</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Hypertrofický pazneht</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12</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Digitální dermatitida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DD</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Infekce kůže prstu nebo meziprstního prostoru s erozí, většinou s bolestivými ulceracemi nebo hyperkeratózní proliferací</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Jahodová/ malinová nemoc, Mortellaro</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15</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Dvojité chodidlo</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DCH</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Dvě či více nespojených vrstev chodidlové rohoviny (s prostorem mezi nimi)</w:t>
            </w:r>
          </w:p>
        </w:tc>
        <w:tc>
          <w:tcPr>
            <w:tcW w:w="1840" w:type="dxa"/>
            <w:vAlign w:val="center"/>
          </w:tcPr>
          <w:p w:rsidR="00717A8F" w:rsidRPr="001A30E1" w:rsidRDefault="00717A8F" w:rsidP="001A30E1">
            <w:pPr>
              <w:spacing w:before="20" w:line="240" w:lineRule="auto"/>
              <w:jc w:val="left"/>
              <w:rPr>
                <w:rFonts w:cs="Tahoma"/>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19</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Interdigitální/ povrchová dermatitida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ID</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Každá forma mírné dermatitidy v okolí paznehtů, která není klasifikována jako digitální dermatitida</w:t>
            </w:r>
          </w:p>
        </w:tc>
        <w:tc>
          <w:tcPr>
            <w:tcW w:w="1840" w:type="dxa"/>
            <w:vAlign w:val="center"/>
          </w:tcPr>
          <w:p w:rsidR="00717A8F" w:rsidRPr="001A30E1" w:rsidRDefault="00717A8F" w:rsidP="001A30E1">
            <w:pPr>
              <w:spacing w:before="20" w:line="240" w:lineRule="auto"/>
              <w:jc w:val="left"/>
              <w:rPr>
                <w:rFonts w:cs="Tahoma"/>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18</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Hniloba rohoviny patek</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HRP</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Eroze patkové rohoviny, v těžkých případech typicky ve tvaru V, možný přechod na škáru</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Hniloba patek</w:t>
            </w:r>
            <w:r w:rsidRPr="001A30E1" w:rsidDel="00B01EA7">
              <w:rPr>
                <w:rFonts w:cs="Tahoma"/>
                <w:sz w:val="17"/>
                <w:szCs w:val="17"/>
              </w:rPr>
              <w:t xml:space="preserve"> </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21</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Krvácenina v chodidle</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KCH</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Difúzní a/nebo ohraničené červené či žluté zabarvení chodidla a/nebo bílé čáry</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Podlitina chodidla</w:t>
            </w:r>
          </w:p>
        </w:tc>
        <w:tc>
          <w:tcPr>
            <w:tcW w:w="730" w:type="dxa"/>
            <w:vAlign w:val="center"/>
          </w:tcPr>
          <w:p w:rsidR="00717A8F" w:rsidRPr="001A30E1" w:rsidRDefault="00717A8F" w:rsidP="001A30E1">
            <w:pPr>
              <w:spacing w:before="20" w:line="240" w:lineRule="auto"/>
              <w:jc w:val="center"/>
              <w:rPr>
                <w:rFonts w:cs="Tahoma"/>
                <w:sz w:val="17"/>
                <w:szCs w:val="17"/>
              </w:rPr>
            </w:pP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Krvácenina v chodidle, difúzní forma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KCHD</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Difúzní (neostře ohraničené) světle červené až nažloutlé zabarvení rohoviny chodidla</w:t>
            </w:r>
          </w:p>
        </w:tc>
        <w:tc>
          <w:tcPr>
            <w:tcW w:w="1840" w:type="dxa"/>
            <w:vAlign w:val="center"/>
          </w:tcPr>
          <w:p w:rsidR="00717A8F" w:rsidRPr="001A30E1" w:rsidRDefault="00717A8F" w:rsidP="001A30E1">
            <w:pPr>
              <w:spacing w:before="20" w:line="240" w:lineRule="auto"/>
              <w:jc w:val="left"/>
              <w:rPr>
                <w:rFonts w:cs="Tahoma"/>
                <w:bCs/>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31</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Krvácenina v chodidle, ohraničená forma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KCHO</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Jasný přechod mezi zabarvenou a normálně zbarvenou rohovinou chodidla</w:t>
            </w:r>
          </w:p>
        </w:tc>
        <w:tc>
          <w:tcPr>
            <w:tcW w:w="1840" w:type="dxa"/>
            <w:vAlign w:val="center"/>
          </w:tcPr>
          <w:p w:rsidR="00717A8F" w:rsidRPr="001A30E1" w:rsidRDefault="00717A8F" w:rsidP="001A30E1">
            <w:pPr>
              <w:spacing w:before="20" w:line="240" w:lineRule="auto"/>
              <w:jc w:val="left"/>
              <w:rPr>
                <w:rFonts w:cs="Tahoma"/>
                <w:bCs/>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32</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Nekrobaciló-za meziprstí</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N</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Symetrický bolestivý otok obou prstů spojený většinou se zápachem a rychlým nástupem kulhání</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Interdigitální flegmóna / nekrobacilóza</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28</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Nemoc bílé čáry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BČ</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Rozpojení rohoviny stěny a chodidla v bílé čáře s nebo bez hnisavého výpotku</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Nemoc bílé zóny</w:t>
            </w:r>
          </w:p>
        </w:tc>
        <w:tc>
          <w:tcPr>
            <w:tcW w:w="730" w:type="dxa"/>
            <w:vAlign w:val="center"/>
          </w:tcPr>
          <w:p w:rsidR="00717A8F" w:rsidRPr="001A30E1" w:rsidRDefault="00717A8F" w:rsidP="001A30E1">
            <w:pPr>
              <w:spacing w:before="20" w:line="240" w:lineRule="auto"/>
              <w:jc w:val="center"/>
              <w:rPr>
                <w:rFonts w:cs="Tahoma"/>
                <w:sz w:val="17"/>
                <w:szCs w:val="17"/>
              </w:rPr>
            </w:pP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Trhlina bílé čáry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BČT</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Rozpojení rohoviny stěny a chodidla v bílé čáře, které zůstane po snesení rohoviny obou chodidel (po 2. kroku tzv. funkční úpravy paznehtů) </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Prasklina bílé čáry</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41</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Hnisavě dutá stěna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BČA</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Rozpojení rohoviny stěny a chodidla v bílé čáře s hnisavě - nekrotickým zánětem stěnové škáry (s abscesem)</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Absces bílé čáry / stěny</w:t>
            </w:r>
          </w:p>
        </w:tc>
        <w:tc>
          <w:tcPr>
            <w:tcW w:w="730" w:type="dxa"/>
            <w:vAlign w:val="center"/>
          </w:tcPr>
          <w:p w:rsidR="00717A8F" w:rsidRPr="001A30E1" w:rsidRDefault="00717A8F" w:rsidP="001A30E1">
            <w:pPr>
              <w:spacing w:before="20" w:line="240" w:lineRule="auto"/>
              <w:jc w:val="center"/>
              <w:rPr>
                <w:rFonts w:cs="Tahoma"/>
                <w:bCs/>
                <w:sz w:val="17"/>
                <w:szCs w:val="17"/>
              </w:rPr>
            </w:pPr>
            <w:r w:rsidRPr="001A30E1">
              <w:rPr>
                <w:rFonts w:cs="Tahoma"/>
                <w:sz w:val="17"/>
                <w:szCs w:val="17"/>
              </w:rPr>
              <w:t>42</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Nůžkovité paznehty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NP</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Hroty paznehtů jsou překřížené</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Zkřížené paznehty</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30</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Otok korunky a/nebo patky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O</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Jednostranný nebo oboustranný otok tkání nad rohovým pouzdrem, který může mít různé příčiny</w:t>
            </w:r>
          </w:p>
        </w:tc>
        <w:tc>
          <w:tcPr>
            <w:tcW w:w="1840" w:type="dxa"/>
            <w:vAlign w:val="center"/>
          </w:tcPr>
          <w:p w:rsidR="00717A8F" w:rsidRPr="001A30E1" w:rsidRDefault="00717A8F" w:rsidP="001A30E1">
            <w:pPr>
              <w:spacing w:before="20" w:line="240" w:lineRule="auto"/>
              <w:jc w:val="left"/>
              <w:rPr>
                <w:rFonts w:cs="Tahoma"/>
                <w:bCs/>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33</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Prohnutá hrana</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PH</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Prohnutá (přední = dorzální) hrana paznehtu</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Prohnutý/ sáňkovitý pazneht</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13</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Spirálovitý pazneht</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SP</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Jakékoli šroubovité stočení vnějšího nebo vnitřního paznehtu. Přední stěna se odklání od přímé linie</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Spirálový/ vývrtkový pazneht</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14</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Tenké chodidlo</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TCH</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Chodidlová rohovina se při tlaku prstů prohýbá (jako houba)</w:t>
            </w:r>
          </w:p>
        </w:tc>
        <w:tc>
          <w:tcPr>
            <w:tcW w:w="1840" w:type="dxa"/>
            <w:vAlign w:val="center"/>
          </w:tcPr>
          <w:p w:rsidR="00717A8F" w:rsidRPr="001A30E1" w:rsidRDefault="00717A8F" w:rsidP="001A30E1">
            <w:pPr>
              <w:spacing w:before="20" w:line="240" w:lineRule="auto"/>
              <w:jc w:val="left"/>
              <w:rPr>
                <w:rFonts w:cs="Tahoma"/>
                <w:bCs/>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40</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Trhlina rohoviny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TR</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Trhlina/štěrbina ve stěně paznehtu</w:t>
            </w:r>
          </w:p>
        </w:tc>
        <w:tc>
          <w:tcPr>
            <w:tcW w:w="1840" w:type="dxa"/>
            <w:vAlign w:val="center"/>
          </w:tcPr>
          <w:p w:rsidR="00717A8F" w:rsidRPr="001A30E1" w:rsidRDefault="00717A8F" w:rsidP="001A30E1">
            <w:pPr>
              <w:spacing w:before="20" w:line="240" w:lineRule="auto"/>
              <w:jc w:val="left"/>
              <w:rPr>
                <w:rFonts w:cs="Tahoma"/>
                <w:sz w:val="17"/>
                <w:szCs w:val="17"/>
              </w:rPr>
            </w:pPr>
          </w:p>
        </w:tc>
        <w:tc>
          <w:tcPr>
            <w:tcW w:w="730" w:type="dxa"/>
            <w:vAlign w:val="center"/>
          </w:tcPr>
          <w:p w:rsidR="00717A8F" w:rsidRPr="001A30E1" w:rsidRDefault="00717A8F" w:rsidP="001A30E1">
            <w:pPr>
              <w:spacing w:before="20" w:line="240" w:lineRule="auto"/>
              <w:ind w:right="741"/>
              <w:jc w:val="center"/>
              <w:rPr>
                <w:rFonts w:cs="Tahoma"/>
                <w:sz w:val="17"/>
                <w:szCs w:val="17"/>
              </w:rPr>
            </w:pP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Osová trhlina rohoviny</w:t>
            </w:r>
          </w:p>
        </w:tc>
        <w:tc>
          <w:tcPr>
            <w:tcW w:w="798" w:type="dxa"/>
            <w:vAlign w:val="center"/>
          </w:tcPr>
          <w:p w:rsidR="00717A8F" w:rsidRPr="001A30E1" w:rsidRDefault="00717A8F" w:rsidP="001A30E1">
            <w:pPr>
              <w:spacing w:before="20" w:line="240" w:lineRule="auto"/>
              <w:jc w:val="center"/>
              <w:rPr>
                <w:rFonts w:cs="Tahoma"/>
                <w:b/>
                <w:sz w:val="16"/>
                <w:szCs w:val="16"/>
              </w:rPr>
            </w:pPr>
            <w:r w:rsidRPr="001A30E1">
              <w:rPr>
                <w:rFonts w:cs="Tahoma"/>
                <w:b/>
                <w:sz w:val="16"/>
                <w:szCs w:val="16"/>
              </w:rPr>
              <w:t>TRO</w:t>
            </w:r>
          </w:p>
        </w:tc>
        <w:tc>
          <w:tcPr>
            <w:tcW w:w="5146"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 xml:space="preserve">Svislá (podélná = souběžná s hranou) trhlina </w:t>
            </w:r>
            <w:r w:rsidRPr="001A30E1">
              <w:rPr>
                <w:rFonts w:cs="Tahoma"/>
                <w:sz w:val="17"/>
                <w:szCs w:val="17"/>
                <w:u w:val="single"/>
              </w:rPr>
              <w:t>vnitřní</w:t>
            </w:r>
            <w:r w:rsidRPr="001A30E1">
              <w:rPr>
                <w:rFonts w:cs="Tahoma"/>
                <w:sz w:val="17"/>
                <w:szCs w:val="17"/>
              </w:rPr>
              <w:t xml:space="preserve"> stěny paznehtu</w:t>
            </w:r>
          </w:p>
        </w:tc>
        <w:tc>
          <w:tcPr>
            <w:tcW w:w="1840" w:type="dxa"/>
            <w:vAlign w:val="center"/>
          </w:tcPr>
          <w:p w:rsidR="00717A8F" w:rsidRPr="001A30E1" w:rsidRDefault="00717A8F" w:rsidP="001A30E1">
            <w:pPr>
              <w:spacing w:before="20" w:line="240" w:lineRule="auto"/>
              <w:jc w:val="left"/>
              <w:rPr>
                <w:rFonts w:cs="Tahoma"/>
                <w:sz w:val="17"/>
                <w:szCs w:val="17"/>
              </w:rPr>
            </w:pPr>
            <w:r w:rsidRPr="001A30E1">
              <w:rPr>
                <w:rFonts w:cs="Tahoma"/>
                <w:sz w:val="17"/>
                <w:szCs w:val="17"/>
              </w:rPr>
              <w:t>Rozštěp vnitřní stěny</w:t>
            </w:r>
          </w:p>
        </w:tc>
        <w:tc>
          <w:tcPr>
            <w:tcW w:w="730" w:type="dxa"/>
            <w:vAlign w:val="center"/>
          </w:tcPr>
          <w:p w:rsidR="00717A8F" w:rsidRPr="001A30E1" w:rsidRDefault="00717A8F" w:rsidP="001A30E1">
            <w:pPr>
              <w:spacing w:before="20" w:line="240" w:lineRule="auto"/>
              <w:ind w:right="-107"/>
              <w:jc w:val="center"/>
              <w:rPr>
                <w:rFonts w:cs="Tahoma"/>
                <w:sz w:val="17"/>
                <w:szCs w:val="17"/>
              </w:rPr>
            </w:pPr>
            <w:r w:rsidRPr="001A30E1">
              <w:rPr>
                <w:rFonts w:cs="Tahoma"/>
                <w:sz w:val="17"/>
                <w:szCs w:val="17"/>
              </w:rPr>
              <w:t>23</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Svislá trhlina rohoviny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TRS</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Svislá (podélná = souběžná s hranou) trhlina na </w:t>
            </w:r>
            <w:r w:rsidRPr="001A30E1">
              <w:rPr>
                <w:rFonts w:cs="Tahoma"/>
                <w:bCs/>
                <w:sz w:val="17"/>
                <w:szCs w:val="17"/>
                <w:u w:val="single"/>
              </w:rPr>
              <w:t>vnějš</w:t>
            </w:r>
            <w:r w:rsidRPr="001A30E1">
              <w:rPr>
                <w:rFonts w:cs="Tahoma"/>
                <w:bCs/>
                <w:sz w:val="17"/>
                <w:szCs w:val="17"/>
              </w:rPr>
              <w:t xml:space="preserve">í nebo </w:t>
            </w:r>
            <w:r w:rsidRPr="001A30E1">
              <w:rPr>
                <w:rFonts w:cs="Tahoma"/>
                <w:bCs/>
                <w:sz w:val="17"/>
                <w:szCs w:val="17"/>
                <w:u w:val="single"/>
              </w:rPr>
              <w:t>přední</w:t>
            </w:r>
            <w:r w:rsidRPr="001A30E1">
              <w:rPr>
                <w:rFonts w:cs="Tahoma"/>
                <w:bCs/>
                <w:sz w:val="17"/>
                <w:szCs w:val="17"/>
              </w:rPr>
              <w:t>, tj. dorzální stěně paznehtu</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Rozštěp stěny</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25</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Vodorovná trhlina rohoviny</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TRV</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Vodorovná (= souběžná s korunkovým okrajem) trhlina stěny paznehtu </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Horizontální rýha, doupě stěny</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24</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Tylom</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T</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Růst fibrotické tkáně mezi prsty</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Mezipaznehtní mozol, Interdigitální hyperplazie / fibrom </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26</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
                <w:bCs/>
                <w:sz w:val="17"/>
                <w:szCs w:val="17"/>
              </w:rPr>
            </w:pPr>
            <w:r w:rsidRPr="001A30E1">
              <w:rPr>
                <w:rFonts w:cs="Tahoma"/>
                <w:b/>
                <w:bCs/>
                <w:sz w:val="17"/>
                <w:szCs w:val="17"/>
              </w:rPr>
              <w:t>Vřed</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V</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Ohraničený defekt rohoviny s obnaženou škárou (vřed) v oblasti chodidla; názvy podle lokalizace (zóny) jako patkový vřed, chodidlový (Rusterholzův) vřed, vřed hrotu, nekróza hrotu paznehtu</w:t>
            </w:r>
          </w:p>
        </w:tc>
        <w:tc>
          <w:tcPr>
            <w:tcW w:w="1840" w:type="dxa"/>
            <w:vAlign w:val="center"/>
          </w:tcPr>
          <w:p w:rsidR="00717A8F" w:rsidRPr="001A30E1" w:rsidRDefault="00717A8F" w:rsidP="001A30E1">
            <w:pPr>
              <w:spacing w:before="20" w:line="240" w:lineRule="auto"/>
              <w:jc w:val="left"/>
              <w:rPr>
                <w:rFonts w:cs="Tahoma"/>
                <w:bCs/>
                <w:sz w:val="17"/>
                <w:szCs w:val="17"/>
              </w:rPr>
            </w:pPr>
          </w:p>
        </w:tc>
        <w:tc>
          <w:tcPr>
            <w:tcW w:w="730" w:type="dxa"/>
            <w:vAlign w:val="center"/>
          </w:tcPr>
          <w:p w:rsidR="00717A8F" w:rsidRPr="001A30E1" w:rsidRDefault="00717A8F" w:rsidP="001A30E1">
            <w:pPr>
              <w:spacing w:before="20" w:line="240" w:lineRule="auto"/>
              <w:jc w:val="center"/>
              <w:rPr>
                <w:rFonts w:cs="Tahoma"/>
                <w:sz w:val="17"/>
                <w:szCs w:val="17"/>
              </w:rPr>
            </w:pP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Chodidlový vřed</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CHV</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Ohraničený defekt (vřed) chodidlové rohoviny s obnaženou zanícenou nebo nekrotickou (odumřelou) škárou </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Rusterholzův vřed (RV), CHV v atypickém místě</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35</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Patkový vřed </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PV</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Vřed lokalizovaný na patce</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Vřed patky</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36</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Vřed špičky</w:t>
            </w:r>
            <w:r w:rsidRPr="001A30E1" w:rsidDel="00933DC6">
              <w:rPr>
                <w:rFonts w:cs="Tahoma"/>
                <w:bCs/>
                <w:sz w:val="17"/>
                <w:szCs w:val="17"/>
              </w:rPr>
              <w:t xml:space="preserve"> </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VŠ</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Vřed lokalizovaný na hrotu = „špičce“ paznehtu </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 xml:space="preserve">Vřed hrotu </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37</w:t>
            </w:r>
          </w:p>
        </w:tc>
      </w:tr>
      <w:tr w:rsidR="001A30E1" w:rsidRPr="001A30E1" w:rsidTr="001A30E1">
        <w:trPr>
          <w:trHeight w:val="113"/>
        </w:trPr>
        <w:tc>
          <w:tcPr>
            <w:tcW w:w="168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Nekróza špičky</w:t>
            </w:r>
            <w:r w:rsidRPr="001A30E1" w:rsidDel="00933DC6">
              <w:rPr>
                <w:rFonts w:cs="Tahoma"/>
                <w:bCs/>
                <w:sz w:val="17"/>
                <w:szCs w:val="17"/>
              </w:rPr>
              <w:t xml:space="preserve"> </w:t>
            </w:r>
          </w:p>
        </w:tc>
        <w:tc>
          <w:tcPr>
            <w:tcW w:w="798" w:type="dxa"/>
            <w:vAlign w:val="center"/>
          </w:tcPr>
          <w:p w:rsidR="00717A8F" w:rsidRPr="001A30E1" w:rsidRDefault="00717A8F" w:rsidP="001A30E1">
            <w:pPr>
              <w:spacing w:before="20" w:line="240" w:lineRule="auto"/>
              <w:jc w:val="center"/>
              <w:rPr>
                <w:rFonts w:cs="Tahoma"/>
                <w:b/>
                <w:bCs/>
                <w:sz w:val="16"/>
                <w:szCs w:val="16"/>
              </w:rPr>
            </w:pPr>
            <w:r w:rsidRPr="001A30E1">
              <w:rPr>
                <w:rFonts w:cs="Tahoma"/>
                <w:b/>
                <w:bCs/>
                <w:sz w:val="16"/>
                <w:szCs w:val="16"/>
              </w:rPr>
              <w:t>NŠ</w:t>
            </w:r>
          </w:p>
        </w:tc>
        <w:tc>
          <w:tcPr>
            <w:tcW w:w="5146"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Nekróza hrotu = „špičky“ paznehtu/prstu s postižením paznehtní kosti</w:t>
            </w:r>
          </w:p>
        </w:tc>
        <w:tc>
          <w:tcPr>
            <w:tcW w:w="1840" w:type="dxa"/>
            <w:vAlign w:val="center"/>
          </w:tcPr>
          <w:p w:rsidR="00717A8F" w:rsidRPr="001A30E1" w:rsidRDefault="00717A8F" w:rsidP="001A30E1">
            <w:pPr>
              <w:spacing w:before="20" w:line="240" w:lineRule="auto"/>
              <w:jc w:val="left"/>
              <w:rPr>
                <w:rFonts w:cs="Tahoma"/>
                <w:bCs/>
                <w:sz w:val="17"/>
                <w:szCs w:val="17"/>
              </w:rPr>
            </w:pPr>
            <w:r w:rsidRPr="001A30E1">
              <w:rPr>
                <w:rFonts w:cs="Tahoma"/>
                <w:bCs/>
                <w:sz w:val="17"/>
                <w:szCs w:val="17"/>
              </w:rPr>
              <w:t>Nekróza hrotu</w:t>
            </w:r>
          </w:p>
        </w:tc>
        <w:tc>
          <w:tcPr>
            <w:tcW w:w="730" w:type="dxa"/>
            <w:vAlign w:val="center"/>
          </w:tcPr>
          <w:p w:rsidR="00717A8F" w:rsidRPr="001A30E1" w:rsidRDefault="00717A8F" w:rsidP="001A30E1">
            <w:pPr>
              <w:spacing w:before="20" w:line="240" w:lineRule="auto"/>
              <w:jc w:val="center"/>
              <w:rPr>
                <w:rFonts w:cs="Tahoma"/>
                <w:sz w:val="17"/>
                <w:szCs w:val="17"/>
              </w:rPr>
            </w:pPr>
            <w:r w:rsidRPr="001A30E1">
              <w:rPr>
                <w:rFonts w:cs="Tahoma"/>
                <w:sz w:val="17"/>
                <w:szCs w:val="17"/>
              </w:rPr>
              <w:t>38</w:t>
            </w:r>
          </w:p>
        </w:tc>
      </w:tr>
    </w:tbl>
    <w:p w:rsidR="00717A8F" w:rsidRDefault="00717A8F" w:rsidP="00717A8F">
      <w:pPr>
        <w:rPr>
          <w:rFonts w:cstheme="minorHAnsi"/>
        </w:rPr>
      </w:pPr>
    </w:p>
    <w:p w:rsidR="00A02BF4" w:rsidRDefault="00A02BF4" w:rsidP="00717A8F">
      <w:pPr>
        <w:rPr>
          <w:rFonts w:cstheme="minorHAnsi"/>
        </w:rPr>
      </w:pPr>
    </w:p>
    <w:p w:rsidR="00A02BF4" w:rsidRDefault="00A02BF4" w:rsidP="003E1398">
      <w:pPr>
        <w:spacing w:after="120"/>
        <w:ind w:firstLine="57"/>
        <w:rPr>
          <w:rFonts w:cstheme="minorHAnsi"/>
        </w:rPr>
      </w:pPr>
      <w:r w:rsidRPr="00A02BF4">
        <w:rPr>
          <w:rFonts w:cstheme="minorHAnsi"/>
        </w:rPr>
        <w:t xml:space="preserve">Pro i naši terénní praxi lze vyzdvihnout dva významné posuny v evidenci nemocí paznehtů.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8"/>
      </w:tblGrid>
      <w:tr w:rsidR="00A02BF4" w:rsidTr="003E1398">
        <w:tc>
          <w:tcPr>
            <w:tcW w:w="10118" w:type="dxa"/>
            <w:shd w:val="clear" w:color="auto" w:fill="auto"/>
          </w:tcPr>
          <w:p w:rsidR="00A02BF4" w:rsidRDefault="00A02BF4" w:rsidP="00A02BF4">
            <w:pPr>
              <w:spacing w:after="120"/>
              <w:ind w:left="57" w:right="170"/>
              <w:rPr>
                <w:rFonts w:cstheme="minorHAnsi"/>
              </w:rPr>
            </w:pPr>
            <w:r w:rsidRPr="00A02BF4">
              <w:rPr>
                <w:rFonts w:cstheme="minorHAnsi"/>
              </w:rPr>
              <w:t xml:space="preserve">Tím prvním je prezentování trhliny bílé čáry jako prvního stádia nemoci bílé čáry, která se při včasném neodhalení, nebo při nedůsledném ošetření, při němž je nezbytné alespoň částečné snesení rohové stěny, může často rozvinout do závažné hnisavě duté stěny. Oproti v atlasu „učebnicové“ fotce trhliny bílé čáry je třeba v praxi prověřovat i </w:t>
            </w:r>
            <w:r>
              <w:rPr>
                <w:rFonts w:cstheme="minorHAnsi"/>
              </w:rPr>
              <w:t>trhliny mnohem menšího rozsahu.</w:t>
            </w:r>
          </w:p>
        </w:tc>
      </w:tr>
    </w:tbl>
    <w:p w:rsidR="00A02BF4" w:rsidRDefault="00A02BF4" w:rsidP="00A02BF4">
      <w:pPr>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8"/>
      </w:tblGrid>
      <w:tr w:rsidR="00A02BF4" w:rsidTr="003E1398">
        <w:tc>
          <w:tcPr>
            <w:tcW w:w="10118" w:type="dxa"/>
            <w:shd w:val="clear" w:color="auto" w:fill="auto"/>
          </w:tcPr>
          <w:p w:rsidR="00A02BF4" w:rsidRDefault="00A02BF4" w:rsidP="00A02BF4">
            <w:pPr>
              <w:spacing w:after="120"/>
              <w:ind w:left="113" w:right="170"/>
              <w:rPr>
                <w:rFonts w:cstheme="minorHAnsi"/>
              </w:rPr>
            </w:pPr>
            <w:r w:rsidRPr="00A02BF4">
              <w:rPr>
                <w:rFonts w:cstheme="minorHAnsi"/>
              </w:rPr>
              <w:t>Druhým posunem je osamostatnění krvácenin v rohovině chodidla jako samostatné skupiny nálezů v podobě difuzní nebo ohraničené formy. Tato skupina defektů rohoviny chodidla nmapř. chybí v celonárodně uznávaném ICAR zdravotním klíči, difuzní forma by spadala pod laminitidu, ohraničená forma krváceniny pod ohraničený nehnisavý zánět škáry. Vyzdvihuje se tak význam krvácenin, coby sice nenápadných (zřetelně viditelné se krváceniny v rohovině chodidla stávají až při úpravě paznehtů), ale důležitých počátečních příznaků následně se vyvíjejících mnohem závažnějších nemocí rohového pouzdra. Stojí tedy rozhodně za evidování! Především při hromadnějším výskytu by měly být alarmujícím signálem k hledání</w:t>
            </w:r>
            <w:r>
              <w:rPr>
                <w:rFonts w:cstheme="minorHAnsi"/>
              </w:rPr>
              <w:t xml:space="preserve"> možných vyvolávajících příčin.</w:t>
            </w:r>
          </w:p>
        </w:tc>
      </w:tr>
    </w:tbl>
    <w:p w:rsidR="00A02BF4" w:rsidRDefault="00A02BF4" w:rsidP="003E1398">
      <w:pPr>
        <w:ind w:firstLine="142"/>
        <w:rPr>
          <w:rFonts w:cstheme="minorHAnsi"/>
        </w:rPr>
      </w:pPr>
    </w:p>
    <w:p w:rsidR="00A02BF4" w:rsidRPr="00A02BF4" w:rsidRDefault="00A02BF4" w:rsidP="003E1398">
      <w:pPr>
        <w:ind w:firstLine="142"/>
        <w:rPr>
          <w:rFonts w:cstheme="minorHAnsi"/>
        </w:rPr>
      </w:pPr>
      <w:r w:rsidRPr="00A02BF4">
        <w:rPr>
          <w:rFonts w:cstheme="minorHAnsi"/>
        </w:rPr>
        <w:t>Příspěvek byl zpracován v rámci řešení projektu MZERO0517 a NAZV QJ1510217.</w:t>
      </w:r>
    </w:p>
    <w:p w:rsidR="00A02BF4" w:rsidRPr="00A02BF4" w:rsidRDefault="00A02BF4" w:rsidP="003E1398">
      <w:pPr>
        <w:ind w:firstLine="142"/>
        <w:rPr>
          <w:rFonts w:cstheme="minorHAnsi"/>
        </w:rPr>
      </w:pPr>
    </w:p>
    <w:p w:rsidR="00A02BF4" w:rsidRPr="00A02BF4" w:rsidRDefault="00A02BF4" w:rsidP="003E1398">
      <w:pPr>
        <w:ind w:firstLine="142"/>
        <w:rPr>
          <w:rFonts w:cstheme="minorHAnsi"/>
        </w:rPr>
      </w:pPr>
      <w:r w:rsidRPr="00A02BF4">
        <w:rPr>
          <w:rFonts w:cstheme="minorHAnsi"/>
        </w:rPr>
        <w:t xml:space="preserve">MVDr. Soňa Šlosárková, Ph.D. </w:t>
      </w:r>
    </w:p>
    <w:p w:rsidR="00A02BF4" w:rsidRPr="00A02BF4" w:rsidRDefault="00A02BF4" w:rsidP="003E1398">
      <w:pPr>
        <w:spacing w:before="0"/>
        <w:ind w:firstLine="142"/>
        <w:rPr>
          <w:rFonts w:cstheme="minorHAnsi"/>
        </w:rPr>
      </w:pPr>
      <w:r w:rsidRPr="00A02BF4">
        <w:rPr>
          <w:rFonts w:cstheme="minorHAnsi"/>
        </w:rPr>
        <w:t>Výzkumný ústav veterinárního lékařství, v. v. i.</w:t>
      </w:r>
    </w:p>
    <w:p w:rsidR="00717A8F" w:rsidRDefault="00717A8F" w:rsidP="003E1398">
      <w:pPr>
        <w:spacing w:before="0" w:line="240" w:lineRule="auto"/>
        <w:ind w:firstLine="142"/>
        <w:rPr>
          <w:rFonts w:asciiTheme="minorHAnsi" w:hAnsiTheme="minorHAnsi"/>
          <w:bCs/>
          <w:sz w:val="24"/>
          <w:szCs w:val="24"/>
        </w:rPr>
      </w:pPr>
      <w:r>
        <w:rPr>
          <w:rFonts w:cs="Tahoma"/>
        </w:rPr>
        <w:t>e-mail: slosarkova@vri.cz</w:t>
      </w:r>
    </w:p>
    <w:p w:rsidR="00A03288" w:rsidRDefault="00A03288" w:rsidP="00A02BF4">
      <w:pPr>
        <w:spacing w:before="0"/>
        <w:rPr>
          <w:rFonts w:asciiTheme="minorHAnsi" w:hAnsiTheme="minorHAnsi"/>
          <w:bCs/>
          <w:sz w:val="24"/>
          <w:szCs w:val="24"/>
        </w:rPr>
        <w:sectPr w:rsidR="00A03288" w:rsidSect="001A30E1">
          <w:pgSz w:w="11906" w:h="16838" w:code="9"/>
          <w:pgMar w:top="1134" w:right="964" w:bottom="1134" w:left="964" w:header="680" w:footer="624" w:gutter="0"/>
          <w:cols w:space="708"/>
          <w:docGrid w:linePitch="360"/>
        </w:sectPr>
      </w:pPr>
    </w:p>
    <w:tbl>
      <w:tblPr>
        <w:tblW w:w="0" w:type="auto"/>
        <w:tblLook w:val="04A0" w:firstRow="1" w:lastRow="0" w:firstColumn="1" w:lastColumn="0" w:noHBand="0" w:noVBand="1"/>
      </w:tblPr>
      <w:tblGrid>
        <w:gridCol w:w="6771"/>
        <w:gridCol w:w="3347"/>
      </w:tblGrid>
      <w:tr w:rsidR="001E2020" w:rsidRPr="00CA7B66" w:rsidTr="00632428">
        <w:tc>
          <w:tcPr>
            <w:tcW w:w="6771" w:type="dxa"/>
          </w:tcPr>
          <w:p w:rsidR="001E2020" w:rsidRPr="00CA7B66" w:rsidRDefault="00632428" w:rsidP="00632428">
            <w:pPr>
              <w:pStyle w:val="Nadpis1"/>
              <w:spacing w:before="0" w:after="0" w:line="240" w:lineRule="auto"/>
            </w:pPr>
            <w:bookmarkStart w:id="70" w:name="_Toc497884744"/>
            <w:r>
              <w:lastRenderedPageBreak/>
              <w:t xml:space="preserve">JE ŘÍZENÍ OKOLOPORODNÍHO </w:t>
            </w:r>
            <w:r w:rsidR="00EB31CC">
              <w:t>OB</w:t>
            </w:r>
            <w:r>
              <w:t>D</w:t>
            </w:r>
            <w:r w:rsidR="00EB31CC">
              <w:t>O</w:t>
            </w:r>
            <w:r>
              <w:t>BÍ DŮLEŽITÉ?</w:t>
            </w:r>
            <w:bookmarkEnd w:id="70"/>
          </w:p>
        </w:tc>
        <w:tc>
          <w:tcPr>
            <w:tcW w:w="3347" w:type="dxa"/>
            <w:shd w:val="clear" w:color="auto" w:fill="31849B" w:themeFill="accent5" w:themeFillShade="BF"/>
          </w:tcPr>
          <w:p w:rsidR="001E2020" w:rsidRPr="00CA7B66" w:rsidRDefault="001E2020" w:rsidP="001875C3"/>
        </w:tc>
      </w:tr>
    </w:tbl>
    <w:p w:rsidR="00A03288" w:rsidRPr="00680FD3" w:rsidRDefault="008B2C55" w:rsidP="00382DCD">
      <w:pPr>
        <w:pStyle w:val="Nadpis2"/>
        <w:jc w:val="left"/>
        <w:rPr>
          <w:sz w:val="22"/>
          <w:szCs w:val="22"/>
        </w:rPr>
      </w:pPr>
      <w:bookmarkStart w:id="71" w:name="_Toc497823134"/>
      <w:bookmarkStart w:id="72" w:name="_Toc497823613"/>
      <w:bookmarkStart w:id="73" w:name="_Toc497884745"/>
      <w:r w:rsidRPr="008B2C55">
        <w:rPr>
          <w:sz w:val="22"/>
          <w:szCs w:val="22"/>
        </w:rPr>
        <w:t>doc. Ing. Luděk Stádník, Ph.D.</w:t>
      </w:r>
      <w:bookmarkEnd w:id="71"/>
      <w:bookmarkEnd w:id="72"/>
      <w:bookmarkEnd w:id="73"/>
    </w:p>
    <w:p w:rsidR="00A03288" w:rsidRPr="00452115" w:rsidRDefault="008B2C55" w:rsidP="008B2C55">
      <w:pPr>
        <w:pStyle w:val="Nadpis3"/>
        <w:rPr>
          <w:color w:val="215868" w:themeColor="accent5" w:themeShade="80"/>
        </w:rPr>
      </w:pPr>
      <w:r w:rsidRPr="00452115">
        <w:rPr>
          <w:color w:val="215868" w:themeColor="accent5" w:themeShade="80"/>
        </w:rPr>
        <w:t>Česká zemědělská univerzita v</w:t>
      </w:r>
      <w:r w:rsidR="00452115" w:rsidRPr="00452115">
        <w:rPr>
          <w:color w:val="215868" w:themeColor="accent5" w:themeShade="80"/>
        </w:rPr>
        <w:t> </w:t>
      </w:r>
      <w:r w:rsidRPr="00452115">
        <w:rPr>
          <w:color w:val="215868" w:themeColor="accent5" w:themeShade="80"/>
        </w:rPr>
        <w:t>Praze</w:t>
      </w:r>
    </w:p>
    <w:p w:rsidR="00452115" w:rsidRPr="00452115" w:rsidRDefault="00452115" w:rsidP="00452115"/>
    <w:p w:rsidR="007222EE" w:rsidRDefault="00C73C09" w:rsidP="002D64E3">
      <w:pPr>
        <w:rPr>
          <w:rFonts w:asciiTheme="minorHAnsi" w:hAnsiTheme="minorHAnsi"/>
          <w:sz w:val="22"/>
        </w:rPr>
      </w:pPr>
      <w:r w:rsidRPr="00C73C09">
        <w:rPr>
          <w:rFonts w:asciiTheme="minorHAnsi" w:hAnsiTheme="minorHAnsi"/>
          <w:noProof/>
          <w:sz w:val="22"/>
        </w:rPr>
        <w:drawing>
          <wp:inline distT="0" distB="0" distL="0" distR="0" wp14:anchorId="0673BFE3" wp14:editId="219510FA">
            <wp:extent cx="3060000" cy="2293200"/>
            <wp:effectExtent l="19050" t="19050" r="26670" b="12065"/>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0000" cy="2293200"/>
                    </a:xfrm>
                    <a:prstGeom prst="rect">
                      <a:avLst/>
                    </a:prstGeom>
                    <a:ln w="3175">
                      <a:solidFill>
                        <a:schemeClr val="tx1">
                          <a:lumMod val="50000"/>
                          <a:lumOff val="50000"/>
                        </a:schemeClr>
                      </a:solidFill>
                    </a:ln>
                  </pic:spPr>
                </pic:pic>
              </a:graphicData>
            </a:graphic>
          </wp:inline>
        </w:drawing>
      </w:r>
      <w:r>
        <w:rPr>
          <w:rFonts w:asciiTheme="minorHAnsi" w:hAnsiTheme="minorHAnsi"/>
          <w:sz w:val="22"/>
        </w:rPr>
        <w:t xml:space="preserve"> </w:t>
      </w:r>
      <w:r w:rsidR="00AC2820">
        <w:rPr>
          <w:rFonts w:asciiTheme="minorHAnsi" w:hAnsiTheme="minorHAnsi"/>
          <w:sz w:val="22"/>
        </w:rPr>
        <w:t xml:space="preserve"> </w:t>
      </w:r>
      <w:r w:rsidR="00AC2820" w:rsidRPr="00AC2820">
        <w:rPr>
          <w:rFonts w:asciiTheme="minorHAnsi" w:hAnsiTheme="minorHAnsi"/>
          <w:noProof/>
          <w:sz w:val="22"/>
        </w:rPr>
        <w:drawing>
          <wp:inline distT="0" distB="0" distL="0" distR="0" wp14:anchorId="6EB9126C" wp14:editId="4D049DA3">
            <wp:extent cx="3060000" cy="2293200"/>
            <wp:effectExtent l="19050" t="19050" r="26670" b="12065"/>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60000" cy="2293200"/>
                    </a:xfrm>
                    <a:prstGeom prst="rect">
                      <a:avLst/>
                    </a:prstGeom>
                    <a:ln>
                      <a:solidFill>
                        <a:schemeClr val="tx1">
                          <a:lumMod val="50000"/>
                          <a:lumOff val="50000"/>
                        </a:schemeClr>
                      </a:solidFill>
                    </a:ln>
                  </pic:spPr>
                </pic:pic>
              </a:graphicData>
            </a:graphic>
          </wp:inline>
        </w:drawing>
      </w:r>
    </w:p>
    <w:p w:rsidR="00AC2820" w:rsidRDefault="00AC2820" w:rsidP="002D64E3">
      <w:pPr>
        <w:rPr>
          <w:rFonts w:asciiTheme="minorHAnsi" w:hAnsiTheme="minorHAnsi"/>
          <w:sz w:val="22"/>
        </w:rPr>
      </w:pPr>
      <w:r w:rsidRPr="00AC2820">
        <w:rPr>
          <w:rFonts w:asciiTheme="minorHAnsi" w:hAnsiTheme="minorHAnsi"/>
          <w:noProof/>
          <w:sz w:val="22"/>
        </w:rPr>
        <w:drawing>
          <wp:inline distT="0" distB="0" distL="0" distR="0" wp14:anchorId="45205F57" wp14:editId="05F66061">
            <wp:extent cx="3060000" cy="2293200"/>
            <wp:effectExtent l="19050" t="19050" r="26670" b="12065"/>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60000" cy="2293200"/>
                    </a:xfrm>
                    <a:prstGeom prst="rect">
                      <a:avLst/>
                    </a:prstGeom>
                    <a:ln>
                      <a:solidFill>
                        <a:schemeClr val="tx1">
                          <a:lumMod val="50000"/>
                          <a:lumOff val="50000"/>
                        </a:schemeClr>
                      </a:solidFill>
                    </a:ln>
                  </pic:spPr>
                </pic:pic>
              </a:graphicData>
            </a:graphic>
          </wp:inline>
        </w:drawing>
      </w:r>
      <w:r>
        <w:rPr>
          <w:rFonts w:asciiTheme="minorHAnsi" w:hAnsiTheme="minorHAnsi"/>
          <w:sz w:val="22"/>
        </w:rPr>
        <w:t xml:space="preserve">  </w:t>
      </w:r>
      <w:r w:rsidRPr="00AC2820">
        <w:rPr>
          <w:rFonts w:asciiTheme="minorHAnsi" w:hAnsiTheme="minorHAnsi"/>
          <w:noProof/>
          <w:sz w:val="22"/>
        </w:rPr>
        <w:drawing>
          <wp:inline distT="0" distB="0" distL="0" distR="0" wp14:anchorId="57DC1F8F" wp14:editId="32B3A53D">
            <wp:extent cx="3060000" cy="2293200"/>
            <wp:effectExtent l="19050" t="19050" r="26670" b="12065"/>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60000" cy="2293200"/>
                    </a:xfrm>
                    <a:prstGeom prst="rect">
                      <a:avLst/>
                    </a:prstGeom>
                    <a:ln>
                      <a:solidFill>
                        <a:schemeClr val="tx1">
                          <a:lumMod val="50000"/>
                          <a:lumOff val="50000"/>
                        </a:schemeClr>
                      </a:solidFill>
                    </a:ln>
                  </pic:spPr>
                </pic:pic>
              </a:graphicData>
            </a:graphic>
          </wp:inline>
        </w:drawing>
      </w:r>
    </w:p>
    <w:p w:rsidR="00452115" w:rsidRDefault="00452115" w:rsidP="002D64E3">
      <w:pPr>
        <w:rPr>
          <w:rFonts w:asciiTheme="minorHAnsi" w:hAnsiTheme="minorHAnsi"/>
          <w:sz w:val="22"/>
        </w:rPr>
      </w:pPr>
      <w:r w:rsidRPr="00452115">
        <w:rPr>
          <w:rFonts w:asciiTheme="minorHAnsi" w:hAnsiTheme="minorHAnsi"/>
          <w:noProof/>
          <w:sz w:val="22"/>
        </w:rPr>
        <w:drawing>
          <wp:inline distT="0" distB="0" distL="0" distR="0" wp14:anchorId="30D6EB67" wp14:editId="4011AAE1">
            <wp:extent cx="3060000" cy="2293200"/>
            <wp:effectExtent l="19050" t="19050" r="26670" b="12065"/>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60000" cy="2293200"/>
                    </a:xfrm>
                    <a:prstGeom prst="rect">
                      <a:avLst/>
                    </a:prstGeom>
                    <a:ln>
                      <a:solidFill>
                        <a:schemeClr val="tx1">
                          <a:lumMod val="50000"/>
                          <a:lumOff val="50000"/>
                        </a:schemeClr>
                      </a:solidFill>
                    </a:ln>
                  </pic:spPr>
                </pic:pic>
              </a:graphicData>
            </a:graphic>
          </wp:inline>
        </w:drawing>
      </w:r>
      <w:r>
        <w:rPr>
          <w:rFonts w:asciiTheme="minorHAnsi" w:hAnsiTheme="minorHAnsi"/>
          <w:sz w:val="22"/>
        </w:rPr>
        <w:t xml:space="preserve">  </w:t>
      </w:r>
      <w:r w:rsidRPr="00452115">
        <w:rPr>
          <w:rFonts w:asciiTheme="minorHAnsi" w:hAnsiTheme="minorHAnsi"/>
          <w:noProof/>
          <w:sz w:val="22"/>
        </w:rPr>
        <w:drawing>
          <wp:inline distT="0" distB="0" distL="0" distR="0" wp14:anchorId="00D55920" wp14:editId="13C8DCDF">
            <wp:extent cx="3060000" cy="2293200"/>
            <wp:effectExtent l="19050" t="19050" r="26670" b="12065"/>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60000" cy="2293200"/>
                    </a:xfrm>
                    <a:prstGeom prst="rect">
                      <a:avLst/>
                    </a:prstGeom>
                    <a:ln>
                      <a:solidFill>
                        <a:schemeClr val="tx1">
                          <a:lumMod val="50000"/>
                          <a:lumOff val="50000"/>
                        </a:schemeClr>
                      </a:solidFill>
                    </a:ln>
                  </pic:spPr>
                </pic:pic>
              </a:graphicData>
            </a:graphic>
          </wp:inline>
        </w:drawing>
      </w:r>
    </w:p>
    <w:p w:rsidR="00525EEA" w:rsidRDefault="00525EEA" w:rsidP="002D64E3">
      <w:pPr>
        <w:rPr>
          <w:rFonts w:asciiTheme="minorHAnsi" w:hAnsiTheme="minorHAnsi"/>
          <w:sz w:val="22"/>
        </w:rPr>
      </w:pPr>
    </w:p>
    <w:p w:rsidR="00525EEA" w:rsidRDefault="00525EEA" w:rsidP="002D64E3">
      <w:pPr>
        <w:rPr>
          <w:rFonts w:asciiTheme="minorHAnsi" w:hAnsiTheme="minorHAnsi"/>
          <w:sz w:val="22"/>
        </w:rPr>
      </w:pPr>
    </w:p>
    <w:p w:rsidR="002F4606" w:rsidRDefault="00B056A9" w:rsidP="00B056A9">
      <w:pPr>
        <w:spacing w:before="0" w:line="240" w:lineRule="auto"/>
        <w:jc w:val="center"/>
        <w:rPr>
          <w:rFonts w:asciiTheme="minorHAnsi" w:hAnsiTheme="minorHAnsi"/>
          <w:sz w:val="22"/>
        </w:rPr>
      </w:pPr>
      <w:r w:rsidRPr="00B056A9">
        <w:rPr>
          <w:rFonts w:asciiTheme="minorHAnsi" w:hAnsiTheme="minorHAnsi"/>
          <w:sz w:val="22"/>
        </w:rPr>
        <w:lastRenderedPageBreak/>
        <w:drawing>
          <wp:inline distT="0" distB="0" distL="0" distR="0" wp14:anchorId="0C608061" wp14:editId="6D29C04F">
            <wp:extent cx="5949538" cy="4462154"/>
            <wp:effectExtent l="19050" t="19050" r="13335" b="146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3917" cy="4480438"/>
                    </a:xfrm>
                    <a:prstGeom prst="rect">
                      <a:avLst/>
                    </a:prstGeom>
                    <a:ln>
                      <a:solidFill>
                        <a:schemeClr val="bg1">
                          <a:lumMod val="50000"/>
                        </a:schemeClr>
                      </a:solidFill>
                    </a:ln>
                  </pic:spPr>
                </pic:pic>
              </a:graphicData>
            </a:graphic>
          </wp:inline>
        </w:drawing>
      </w:r>
    </w:p>
    <w:p w:rsidR="002F4606" w:rsidRDefault="00525EEA" w:rsidP="002F4606">
      <w:pPr>
        <w:spacing w:before="80" w:line="240" w:lineRule="auto"/>
        <w:jc w:val="center"/>
        <w:rPr>
          <w:rFonts w:asciiTheme="minorHAnsi" w:hAnsiTheme="minorHAnsi"/>
          <w:sz w:val="22"/>
        </w:rPr>
      </w:pPr>
      <w:r w:rsidRPr="00525EEA">
        <w:rPr>
          <w:rFonts w:asciiTheme="minorHAnsi" w:hAnsiTheme="minorHAnsi"/>
          <w:noProof/>
          <w:sz w:val="22"/>
        </w:rPr>
        <w:drawing>
          <wp:inline distT="0" distB="0" distL="0" distR="0" wp14:anchorId="2BD593FB" wp14:editId="3B9ADA5A">
            <wp:extent cx="2988000" cy="2239200"/>
            <wp:effectExtent l="19050" t="19050" r="22225" b="2794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88000" cy="2239200"/>
                    </a:xfrm>
                    <a:prstGeom prst="rect">
                      <a:avLst/>
                    </a:prstGeom>
                    <a:ln>
                      <a:solidFill>
                        <a:schemeClr val="tx1">
                          <a:lumMod val="50000"/>
                          <a:lumOff val="50000"/>
                        </a:schemeClr>
                      </a:solidFill>
                    </a:ln>
                  </pic:spPr>
                </pic:pic>
              </a:graphicData>
            </a:graphic>
          </wp:inline>
        </w:drawing>
      </w:r>
      <w:r w:rsidR="00E317DD" w:rsidRPr="00E317DD">
        <w:rPr>
          <w:rFonts w:asciiTheme="minorHAnsi" w:hAnsiTheme="minorHAnsi"/>
          <w:noProof/>
          <w:sz w:val="22"/>
        </w:rPr>
        <w:drawing>
          <wp:inline distT="0" distB="0" distL="0" distR="0" wp14:anchorId="3EB78430" wp14:editId="215708F2">
            <wp:extent cx="2988000" cy="2239200"/>
            <wp:effectExtent l="19050" t="19050" r="22225" b="2794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88000" cy="2239200"/>
                    </a:xfrm>
                    <a:prstGeom prst="rect">
                      <a:avLst/>
                    </a:prstGeom>
                    <a:ln>
                      <a:solidFill>
                        <a:schemeClr val="tx1">
                          <a:lumMod val="50000"/>
                          <a:lumOff val="50000"/>
                        </a:schemeClr>
                      </a:solidFill>
                    </a:ln>
                  </pic:spPr>
                </pic:pic>
              </a:graphicData>
            </a:graphic>
          </wp:inline>
        </w:drawing>
      </w:r>
    </w:p>
    <w:p w:rsidR="002F4606" w:rsidRDefault="00E317DD" w:rsidP="002F4606">
      <w:pPr>
        <w:spacing w:before="80" w:line="240" w:lineRule="auto"/>
        <w:jc w:val="center"/>
        <w:rPr>
          <w:rFonts w:asciiTheme="minorHAnsi" w:hAnsiTheme="minorHAnsi"/>
          <w:sz w:val="22"/>
        </w:rPr>
      </w:pPr>
      <w:r w:rsidRPr="00E317DD">
        <w:rPr>
          <w:rFonts w:asciiTheme="minorHAnsi" w:hAnsiTheme="minorHAnsi"/>
          <w:noProof/>
          <w:sz w:val="22"/>
        </w:rPr>
        <w:drawing>
          <wp:inline distT="0" distB="0" distL="0" distR="0" wp14:anchorId="22FEE7C9" wp14:editId="280EC284">
            <wp:extent cx="2988000" cy="2239200"/>
            <wp:effectExtent l="19050" t="19050" r="22225" b="2794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88000" cy="2239200"/>
                    </a:xfrm>
                    <a:prstGeom prst="rect">
                      <a:avLst/>
                    </a:prstGeom>
                    <a:ln>
                      <a:solidFill>
                        <a:schemeClr val="tx1">
                          <a:lumMod val="50000"/>
                          <a:lumOff val="50000"/>
                        </a:schemeClr>
                      </a:solidFill>
                    </a:ln>
                  </pic:spPr>
                </pic:pic>
              </a:graphicData>
            </a:graphic>
          </wp:inline>
        </w:drawing>
      </w:r>
      <w:r w:rsidRPr="00E317DD">
        <w:rPr>
          <w:rFonts w:asciiTheme="minorHAnsi" w:hAnsiTheme="minorHAnsi"/>
          <w:bCs/>
          <w:noProof/>
          <w:sz w:val="22"/>
        </w:rPr>
        <w:drawing>
          <wp:inline distT="0" distB="0" distL="0" distR="0" wp14:anchorId="59491A24" wp14:editId="647CCF43">
            <wp:extent cx="2988000" cy="2239200"/>
            <wp:effectExtent l="19050" t="19050" r="22225" b="2794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88000" cy="2239200"/>
                    </a:xfrm>
                    <a:prstGeom prst="rect">
                      <a:avLst/>
                    </a:prstGeom>
                    <a:ln>
                      <a:solidFill>
                        <a:schemeClr val="tx1">
                          <a:lumMod val="50000"/>
                          <a:lumOff val="50000"/>
                        </a:schemeClr>
                      </a:solidFill>
                    </a:ln>
                  </pic:spPr>
                </pic:pic>
              </a:graphicData>
            </a:graphic>
          </wp:inline>
        </w:drawing>
      </w:r>
    </w:p>
    <w:p w:rsidR="002F4606" w:rsidRDefault="00E317DD" w:rsidP="0012133F">
      <w:pPr>
        <w:spacing w:before="0" w:line="240" w:lineRule="auto"/>
        <w:jc w:val="center"/>
        <w:rPr>
          <w:rFonts w:asciiTheme="minorHAnsi" w:hAnsiTheme="minorHAnsi"/>
          <w:bCs/>
          <w:sz w:val="22"/>
        </w:rPr>
      </w:pPr>
      <w:r w:rsidRPr="00E317DD">
        <w:rPr>
          <w:rFonts w:asciiTheme="minorHAnsi" w:hAnsiTheme="minorHAnsi"/>
          <w:bCs/>
          <w:noProof/>
          <w:sz w:val="22"/>
        </w:rPr>
        <w:lastRenderedPageBreak/>
        <w:drawing>
          <wp:inline distT="0" distB="0" distL="0" distR="0" wp14:anchorId="232824AB" wp14:editId="56137A1A">
            <wp:extent cx="3024000" cy="2268000"/>
            <wp:effectExtent l="19050" t="19050" r="24130" b="18415"/>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Pr="00E317DD">
        <w:rPr>
          <w:rFonts w:asciiTheme="minorHAnsi" w:hAnsiTheme="minorHAnsi"/>
          <w:bCs/>
          <w:noProof/>
          <w:sz w:val="22"/>
        </w:rPr>
        <w:drawing>
          <wp:inline distT="0" distB="0" distL="0" distR="0" wp14:anchorId="44402A4F" wp14:editId="6CA403FE">
            <wp:extent cx="3024000" cy="2268000"/>
            <wp:effectExtent l="19050" t="19050" r="24130" b="18415"/>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p>
    <w:p w:rsidR="002F4606" w:rsidRDefault="00E317DD" w:rsidP="0012133F">
      <w:pPr>
        <w:spacing w:before="0" w:line="240" w:lineRule="auto"/>
        <w:jc w:val="center"/>
        <w:rPr>
          <w:rFonts w:asciiTheme="minorHAnsi" w:hAnsiTheme="minorHAnsi"/>
          <w:bCs/>
          <w:sz w:val="22"/>
        </w:rPr>
      </w:pPr>
      <w:r w:rsidRPr="00E317DD">
        <w:rPr>
          <w:rFonts w:asciiTheme="minorHAnsi" w:hAnsiTheme="minorHAnsi"/>
          <w:bCs/>
          <w:noProof/>
          <w:sz w:val="22"/>
        </w:rPr>
        <w:drawing>
          <wp:inline distT="0" distB="0" distL="0" distR="0" wp14:anchorId="6B3A2BAB" wp14:editId="31AA3DD3">
            <wp:extent cx="2988000" cy="2239200"/>
            <wp:effectExtent l="19050" t="19050" r="22225" b="2794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88000" cy="22392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005D7AEA" w:rsidRPr="005D7AEA">
        <w:rPr>
          <w:rFonts w:asciiTheme="minorHAnsi" w:hAnsiTheme="minorHAnsi"/>
          <w:bCs/>
          <w:noProof/>
          <w:sz w:val="22"/>
        </w:rPr>
        <w:drawing>
          <wp:inline distT="0" distB="0" distL="0" distR="0" wp14:anchorId="6B12A77C" wp14:editId="45B02619">
            <wp:extent cx="3024000" cy="2268000"/>
            <wp:effectExtent l="19050" t="19050" r="24130" b="18415"/>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5D7AEA">
        <w:rPr>
          <w:rFonts w:asciiTheme="minorHAnsi" w:hAnsiTheme="minorHAnsi"/>
          <w:bCs/>
          <w:sz w:val="22"/>
        </w:rPr>
        <w:t xml:space="preserve">  </w:t>
      </w:r>
    </w:p>
    <w:p w:rsidR="002F4606" w:rsidRDefault="005D7AEA" w:rsidP="0012133F">
      <w:pPr>
        <w:spacing w:before="0" w:line="240" w:lineRule="auto"/>
        <w:jc w:val="center"/>
        <w:rPr>
          <w:rFonts w:asciiTheme="minorHAnsi" w:hAnsiTheme="minorHAnsi"/>
          <w:bCs/>
          <w:sz w:val="22"/>
        </w:rPr>
      </w:pPr>
      <w:r w:rsidRPr="005D7AEA">
        <w:rPr>
          <w:rFonts w:asciiTheme="minorHAnsi" w:hAnsiTheme="minorHAnsi"/>
          <w:bCs/>
          <w:noProof/>
          <w:sz w:val="22"/>
        </w:rPr>
        <w:drawing>
          <wp:inline distT="0" distB="0" distL="0" distR="0" wp14:anchorId="11B2760F" wp14:editId="0667E349">
            <wp:extent cx="3024000" cy="2268000"/>
            <wp:effectExtent l="19050" t="19050" r="24130" b="18415"/>
            <wp:docPr id="31744" name="Obrázek 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Pr="005D7AEA">
        <w:rPr>
          <w:rFonts w:asciiTheme="minorHAnsi" w:hAnsiTheme="minorHAnsi"/>
          <w:bCs/>
          <w:noProof/>
          <w:sz w:val="22"/>
        </w:rPr>
        <w:drawing>
          <wp:inline distT="0" distB="0" distL="0" distR="0" wp14:anchorId="5A872615" wp14:editId="0DCCE72C">
            <wp:extent cx="3024000" cy="2268000"/>
            <wp:effectExtent l="19050" t="19050" r="24130" b="18415"/>
            <wp:docPr id="31745" name="Obrázek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p>
    <w:p w:rsidR="002F4606" w:rsidRDefault="005D7AEA" w:rsidP="0012133F">
      <w:pPr>
        <w:spacing w:before="0" w:line="240" w:lineRule="auto"/>
        <w:jc w:val="center"/>
        <w:rPr>
          <w:rFonts w:asciiTheme="minorHAnsi" w:hAnsiTheme="minorHAnsi"/>
          <w:bCs/>
          <w:sz w:val="22"/>
        </w:rPr>
      </w:pPr>
      <w:r w:rsidRPr="005D7AEA">
        <w:rPr>
          <w:rFonts w:asciiTheme="minorHAnsi" w:hAnsiTheme="minorHAnsi"/>
          <w:bCs/>
          <w:noProof/>
          <w:sz w:val="22"/>
        </w:rPr>
        <w:drawing>
          <wp:inline distT="0" distB="0" distL="0" distR="0" wp14:anchorId="08CD39E9" wp14:editId="44335897">
            <wp:extent cx="3024000" cy="2268000"/>
            <wp:effectExtent l="19050" t="19050" r="24130" b="18415"/>
            <wp:docPr id="31746" name="Obrázek 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Pr="005D7AEA">
        <w:rPr>
          <w:rFonts w:asciiTheme="minorHAnsi" w:hAnsiTheme="minorHAnsi"/>
          <w:bCs/>
          <w:noProof/>
          <w:sz w:val="22"/>
        </w:rPr>
        <w:drawing>
          <wp:inline distT="0" distB="0" distL="0" distR="0" wp14:anchorId="00DA747F" wp14:editId="57B3E53B">
            <wp:extent cx="3024000" cy="2268000"/>
            <wp:effectExtent l="19050" t="19050" r="24130" b="18415"/>
            <wp:docPr id="31747" name="Obrázek 3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p>
    <w:p w:rsidR="002F4606" w:rsidRDefault="005D7AEA" w:rsidP="002F4606">
      <w:pPr>
        <w:spacing w:before="0" w:line="240" w:lineRule="auto"/>
        <w:jc w:val="center"/>
        <w:rPr>
          <w:rFonts w:asciiTheme="minorHAnsi" w:hAnsiTheme="minorHAnsi"/>
          <w:bCs/>
          <w:sz w:val="22"/>
        </w:rPr>
      </w:pPr>
      <w:r w:rsidRPr="005D7AEA">
        <w:rPr>
          <w:rFonts w:asciiTheme="minorHAnsi" w:hAnsiTheme="minorHAnsi"/>
          <w:bCs/>
          <w:noProof/>
          <w:sz w:val="22"/>
        </w:rPr>
        <w:lastRenderedPageBreak/>
        <w:drawing>
          <wp:inline distT="0" distB="0" distL="0" distR="0" wp14:anchorId="2B6DF203" wp14:editId="33EA1968">
            <wp:extent cx="3024000" cy="2268000"/>
            <wp:effectExtent l="19050" t="19050" r="24130" b="18415"/>
            <wp:docPr id="31748" name="Obrázek 3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Pr="005D7AEA">
        <w:rPr>
          <w:rFonts w:asciiTheme="minorHAnsi" w:hAnsiTheme="minorHAnsi"/>
          <w:bCs/>
          <w:noProof/>
          <w:sz w:val="22"/>
        </w:rPr>
        <w:drawing>
          <wp:inline distT="0" distB="0" distL="0" distR="0" wp14:anchorId="36DD8D17" wp14:editId="6C7A6AD1">
            <wp:extent cx="3024000" cy="2268000"/>
            <wp:effectExtent l="19050" t="19050" r="24130" b="18415"/>
            <wp:docPr id="31749" name="Obrázek 3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Pr>
          <w:rFonts w:asciiTheme="minorHAnsi" w:hAnsiTheme="minorHAnsi"/>
          <w:bCs/>
          <w:sz w:val="22"/>
        </w:rPr>
        <w:t xml:space="preserve">  </w:t>
      </w:r>
    </w:p>
    <w:p w:rsidR="005D7AEA" w:rsidRPr="00631736" w:rsidRDefault="005D7AEA" w:rsidP="002F4606">
      <w:pPr>
        <w:spacing w:before="0" w:line="240" w:lineRule="auto"/>
        <w:jc w:val="center"/>
        <w:rPr>
          <w:rFonts w:asciiTheme="minorHAnsi" w:hAnsiTheme="minorHAnsi"/>
          <w:bCs/>
          <w:sz w:val="22"/>
        </w:rPr>
      </w:pPr>
      <w:r w:rsidRPr="005D7AEA">
        <w:rPr>
          <w:rFonts w:asciiTheme="minorHAnsi" w:hAnsiTheme="minorHAnsi"/>
          <w:bCs/>
          <w:noProof/>
          <w:sz w:val="22"/>
        </w:rPr>
        <w:drawing>
          <wp:inline distT="0" distB="0" distL="0" distR="0" wp14:anchorId="2F60CE5C" wp14:editId="2FD9719F">
            <wp:extent cx="3024000" cy="2268000"/>
            <wp:effectExtent l="19050" t="19050" r="24130" b="18415"/>
            <wp:docPr id="31751" name="Obrázek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r w:rsidR="002F4606">
        <w:rPr>
          <w:rFonts w:asciiTheme="minorHAnsi" w:hAnsiTheme="minorHAnsi"/>
          <w:bCs/>
          <w:sz w:val="22"/>
        </w:rPr>
        <w:t xml:space="preserve"> </w:t>
      </w:r>
      <w:r w:rsidR="00036A6E" w:rsidRPr="00036A6E">
        <w:rPr>
          <w:rFonts w:asciiTheme="minorHAnsi" w:hAnsiTheme="minorHAnsi"/>
          <w:bCs/>
          <w:noProof/>
          <w:sz w:val="22"/>
        </w:rPr>
        <w:drawing>
          <wp:inline distT="0" distB="0" distL="0" distR="0" wp14:anchorId="43E89E34" wp14:editId="4E0A08A2">
            <wp:extent cx="3024000" cy="2268000"/>
            <wp:effectExtent l="19050" t="19050" r="24130" b="18415"/>
            <wp:docPr id="31753" name="Obrázek 3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24000" cy="2268000"/>
                    </a:xfrm>
                    <a:prstGeom prst="rect">
                      <a:avLst/>
                    </a:prstGeom>
                    <a:ln>
                      <a:solidFill>
                        <a:schemeClr val="tx1">
                          <a:lumMod val="50000"/>
                          <a:lumOff val="50000"/>
                        </a:schemeClr>
                      </a:solidFill>
                    </a:ln>
                  </pic:spPr>
                </pic:pic>
              </a:graphicData>
            </a:graphic>
          </wp:inline>
        </w:drawing>
      </w:r>
    </w:p>
    <w:p w:rsidR="006B754B" w:rsidRDefault="00E317DD">
      <w:pPr>
        <w:sectPr w:rsidR="006B754B" w:rsidSect="001A30E1">
          <w:pgSz w:w="11906" w:h="16838" w:code="9"/>
          <w:pgMar w:top="1134" w:right="964" w:bottom="1134" w:left="964" w:header="680" w:footer="624" w:gutter="0"/>
          <w:cols w:space="708"/>
          <w:docGrid w:linePitch="360"/>
        </w:sectPr>
      </w:pPr>
      <w:r>
        <w:t xml:space="preserve"> </w:t>
      </w:r>
    </w:p>
    <w:p w:rsidR="006B754B" w:rsidRDefault="006B754B" w:rsidP="006B754B"/>
    <w:p w:rsidR="00C118EA" w:rsidRDefault="00C118EA" w:rsidP="006B754B"/>
    <w:p w:rsidR="00C118EA" w:rsidRDefault="00C118EA" w:rsidP="006B754B"/>
    <w:p w:rsidR="00C118EA" w:rsidRDefault="00C118EA" w:rsidP="006B754B"/>
    <w:p w:rsidR="00C118EA" w:rsidRDefault="00C118EA" w:rsidP="006B754B"/>
    <w:p w:rsidR="00C118EA" w:rsidRDefault="00C118EA" w:rsidP="006B754B"/>
    <w:p w:rsidR="006B754B" w:rsidRDefault="006B754B" w:rsidP="006B754B"/>
    <w:p w:rsidR="006B754B" w:rsidRDefault="006B754B" w:rsidP="006B754B"/>
    <w:p w:rsidR="006B754B" w:rsidRDefault="006B754B" w:rsidP="006B754B"/>
    <w:p w:rsidR="006B754B" w:rsidRDefault="006B754B" w:rsidP="006B754B"/>
    <w:p w:rsidR="006B754B" w:rsidRDefault="006B754B" w:rsidP="006B754B"/>
    <w:p w:rsidR="006B754B" w:rsidRDefault="006B754B" w:rsidP="006B754B"/>
    <w:p w:rsidR="006B754B" w:rsidRDefault="006B754B" w:rsidP="006B754B"/>
    <w:p w:rsidR="006B754B" w:rsidRDefault="006B754B" w:rsidP="006B754B"/>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Default="006B754B" w:rsidP="006B754B">
      <w:pPr>
        <w:spacing w:before="0"/>
      </w:pPr>
    </w:p>
    <w:p w:rsidR="006B754B" w:rsidRPr="00E863E7" w:rsidRDefault="006B754B" w:rsidP="006B754B">
      <w:pPr>
        <w:rPr>
          <w:b/>
        </w:rPr>
      </w:pPr>
      <w:r w:rsidRPr="00E863E7">
        <w:rPr>
          <w:i/>
        </w:rPr>
        <w:t>Název</w:t>
      </w:r>
      <w:r>
        <w:t>:</w:t>
      </w:r>
      <w:r>
        <w:tab/>
      </w:r>
      <w:r>
        <w:tab/>
      </w:r>
      <w:r>
        <w:rPr>
          <w:b/>
        </w:rPr>
        <w:t>Farmářský den – VÝZKUM PRAXI</w:t>
      </w:r>
    </w:p>
    <w:p w:rsidR="006B754B" w:rsidRDefault="006B754B" w:rsidP="006B754B">
      <w:pPr>
        <w:spacing w:before="360"/>
      </w:pPr>
      <w:r>
        <w:rPr>
          <w:i/>
        </w:rPr>
        <w:t>Edice</w:t>
      </w:r>
      <w:r>
        <w:t>:</w:t>
      </w:r>
      <w:r>
        <w:tab/>
      </w:r>
      <w:r>
        <w:tab/>
        <w:t>Útvar dokumentace a propagace VÚŽV, v.v.i. Uhříněves</w:t>
      </w:r>
    </w:p>
    <w:p w:rsidR="006B754B" w:rsidRPr="0093568D" w:rsidRDefault="006B754B" w:rsidP="006B754B">
      <w:pPr>
        <w:spacing w:before="60"/>
        <w:ind w:left="709" w:firstLine="709"/>
        <w:rPr>
          <w:szCs w:val="20"/>
        </w:rPr>
      </w:pPr>
      <w:r w:rsidRPr="0093568D">
        <w:rPr>
          <w:szCs w:val="20"/>
        </w:rPr>
        <w:t>(Obrazový materiál převzat z archivu autorů)</w:t>
      </w:r>
    </w:p>
    <w:p w:rsidR="006B754B" w:rsidRDefault="006B754B" w:rsidP="00D82425">
      <w:pPr>
        <w:spacing w:before="360"/>
        <w:ind w:left="1416" w:hanging="1416"/>
        <w:jc w:val="left"/>
      </w:pPr>
      <w:r w:rsidRPr="00E863E7">
        <w:rPr>
          <w:i/>
        </w:rPr>
        <w:t>Vydal</w:t>
      </w:r>
      <w:r>
        <w:t>:</w:t>
      </w:r>
      <w:r>
        <w:tab/>
        <w:t>Výzkumný ústav živočišné výroby, v.v.i.</w:t>
      </w:r>
      <w:r w:rsidR="00D82425">
        <w:br/>
        <w:t>Přátelství 815</w:t>
      </w:r>
      <w:r w:rsidR="00D82425">
        <w:br/>
        <w:t>104 00</w:t>
      </w:r>
      <w:r>
        <w:t xml:space="preserve"> Praha Uhříněves</w:t>
      </w:r>
    </w:p>
    <w:p w:rsidR="006B754B" w:rsidRDefault="006B754B" w:rsidP="006B754B">
      <w:pPr>
        <w:spacing w:before="360"/>
      </w:pPr>
      <w:r w:rsidRPr="00E863E7">
        <w:rPr>
          <w:i/>
        </w:rPr>
        <w:t>Dne</w:t>
      </w:r>
      <w:r>
        <w:t>:</w:t>
      </w:r>
      <w:r>
        <w:tab/>
      </w:r>
      <w:r>
        <w:tab/>
        <w:t>2</w:t>
      </w:r>
      <w:r w:rsidR="0012133F">
        <w:t>3</w:t>
      </w:r>
      <w:r>
        <w:t>. listopadu 201</w:t>
      </w:r>
      <w:r w:rsidR="0012133F">
        <w:t>7</w:t>
      </w:r>
    </w:p>
    <w:p w:rsidR="006B754B" w:rsidRDefault="006B754B" w:rsidP="006B754B">
      <w:pPr>
        <w:spacing w:before="360"/>
      </w:pPr>
      <w:r w:rsidRPr="00E863E7">
        <w:rPr>
          <w:i/>
        </w:rPr>
        <w:t>ISBN</w:t>
      </w:r>
      <w:r>
        <w:t>:</w:t>
      </w:r>
      <w:r>
        <w:tab/>
      </w:r>
      <w:r>
        <w:tab/>
      </w:r>
      <w:r w:rsidR="0012133F" w:rsidRPr="0012133F">
        <w:t>978-80-7403-183-0</w:t>
      </w:r>
    </w:p>
    <w:p w:rsidR="006B754B" w:rsidRPr="00313556" w:rsidRDefault="006B754B" w:rsidP="006B754B">
      <w:pPr>
        <w:spacing w:before="360"/>
        <w:rPr>
          <w:rFonts w:ascii="Lucida Sans Unicode" w:hAnsi="Lucida Sans Unicode" w:cs="Lucida Sans Unicode"/>
          <w:color w:val="800000"/>
          <w:spacing w:val="20"/>
          <w:sz w:val="24"/>
        </w:rPr>
      </w:pPr>
      <w:r>
        <w:tab/>
      </w:r>
      <w:r>
        <w:tab/>
      </w:r>
      <w:r w:rsidRPr="00313556">
        <w:rPr>
          <w:rFonts w:ascii="Lucida Sans Unicode" w:hAnsi="Lucida Sans Unicode" w:cs="Lucida Sans Unicode"/>
          <w:color w:val="800000"/>
          <w:spacing w:val="20"/>
          <w:sz w:val="24"/>
        </w:rPr>
        <w:t>neprodejné</w:t>
      </w:r>
    </w:p>
    <w:p w:rsidR="00D82425" w:rsidRDefault="00D82425">
      <w:pPr>
        <w:sectPr w:rsidR="00D82425" w:rsidSect="001A30E1">
          <w:pgSz w:w="11906" w:h="16838" w:code="9"/>
          <w:pgMar w:top="1134" w:right="964" w:bottom="1134" w:left="964" w:header="680" w:footer="624" w:gutter="0"/>
          <w:cols w:space="708"/>
          <w:docGrid w:linePitch="360"/>
        </w:sectPr>
      </w:pPr>
    </w:p>
    <w:p w:rsidR="006B754B" w:rsidRDefault="001B73A9">
      <w:r>
        <w:rPr>
          <w:noProof/>
        </w:rPr>
        <w:lastRenderedPageBreak/>
        <mc:AlternateContent>
          <mc:Choice Requires="wps">
            <w:drawing>
              <wp:anchor distT="0" distB="0" distL="114300" distR="114300" simplePos="0" relativeHeight="251679744" behindDoc="0" locked="0" layoutInCell="1" allowOverlap="1" wp14:anchorId="6E492958" wp14:editId="07C40AC3">
                <wp:simplePos x="0" y="0"/>
                <wp:positionH relativeFrom="column">
                  <wp:posOffset>168910</wp:posOffset>
                </wp:positionH>
                <wp:positionV relativeFrom="page">
                  <wp:posOffset>7677150</wp:posOffset>
                </wp:positionV>
                <wp:extent cx="4210050" cy="1574800"/>
                <wp:effectExtent l="0" t="0" r="0" b="6350"/>
                <wp:wrapNone/>
                <wp:docPr id="7180" name="Textové pole 7180"/>
                <wp:cNvGraphicFramePr/>
                <a:graphic xmlns:a="http://schemas.openxmlformats.org/drawingml/2006/main">
                  <a:graphicData uri="http://schemas.microsoft.com/office/word/2010/wordprocessingShape">
                    <wps:wsp>
                      <wps:cNvSpPr txBox="1"/>
                      <wps:spPr>
                        <a:xfrm>
                          <a:off x="0" y="0"/>
                          <a:ext cx="4210050" cy="157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5C3" w:rsidRPr="001B73A9" w:rsidRDefault="001875C3" w:rsidP="001B73A9">
                            <w:pPr>
                              <w:jc w:val="left"/>
                              <w:rPr>
                                <w:rFonts w:cs="Tahoma"/>
                                <w:sz w:val="24"/>
                                <w:szCs w:val="24"/>
                              </w:rPr>
                            </w:pPr>
                            <w:r w:rsidRPr="001B73A9">
                              <w:rPr>
                                <w:sz w:val="24"/>
                                <w:szCs w:val="24"/>
                              </w:rPr>
                              <w:t>Výzkumný ústav živočišné výroby, v.v.i.</w:t>
                            </w:r>
                            <w:r w:rsidRPr="001B73A9">
                              <w:rPr>
                                <w:sz w:val="24"/>
                                <w:szCs w:val="24"/>
                              </w:rPr>
                              <w:br/>
                              <w:t>Přátelství 815</w:t>
                            </w:r>
                            <w:r w:rsidRPr="001B73A9">
                              <w:rPr>
                                <w:sz w:val="24"/>
                                <w:szCs w:val="24"/>
                              </w:rPr>
                              <w:br/>
                              <w:t>104 00 Praha Uhříněves</w:t>
                            </w:r>
                            <w:r w:rsidRPr="001B73A9">
                              <w:rPr>
                                <w:rFonts w:cs="Tahoma"/>
                                <w:sz w:val="24"/>
                                <w:szCs w:val="24"/>
                              </w:rPr>
                              <w:t xml:space="preserve"> </w:t>
                            </w:r>
                          </w:p>
                          <w:p w:rsidR="001875C3" w:rsidRPr="00D82425" w:rsidRDefault="001875C3" w:rsidP="001B73A9">
                            <w:pPr>
                              <w:jc w:val="left"/>
                              <w:rPr>
                                <w:rFonts w:cs="Tahoma"/>
                                <w:sz w:val="36"/>
                                <w:szCs w:val="36"/>
                              </w:rPr>
                            </w:pPr>
                            <w:r>
                              <w:rPr>
                                <w:rFonts w:cs="Tahoma"/>
                                <w:sz w:val="36"/>
                                <w:szCs w:val="36"/>
                              </w:rPr>
                              <w:t>www</w:t>
                            </w:r>
                            <w:r w:rsidRPr="00D82425">
                              <w:rPr>
                                <w:rFonts w:cs="Tahoma"/>
                                <w:sz w:val="36"/>
                                <w:szCs w:val="36"/>
                              </w:rPr>
                              <w:t>.vuzv.cz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80" o:spid="_x0000_s1035" type="#_x0000_t202" style="position:absolute;left:0;text-align:left;margin-left:13.3pt;margin-top:604.5pt;width:331.5pt;height:1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Z+jAIAAHUFAAAOAAAAZHJzL2Uyb0RvYy54bWysVNtuEzEQfUfiHyy/092EtE2jbqrQqgip&#10;aita1GfHazcrvB5jO8mGP+I7+DGOnSuFlyJedsczZ47n5jm/6FrDFsqHhmzFe0clZ8pKqhv7XPEv&#10;j9fvhpyFKGwtDFlV8ZUK/GL89s350o1Un2ZkauUZSGwYLV3FZzG6UVEEOVOtCEfklIVRk29FxNE/&#10;F7UXS7C3puiX5UmxJF87T1KFAO3V2sjHmV9rJeOd1kFFZiqO2GL++vydpm8xPhejZy/crJGbMMQ/&#10;RNGKxuLSHdWViILNffMHVdtIT4F0PJLUFqR1I1XOAdn0yhfZPMyEUzkXFCe4XZnC/6OVt4t7z5q6&#10;4qe9IQpkRYsuPaou0uLnD+bIKJYtKNTShRHwDw4esftAHRqeCpj0AcqUf6d9m/7IjMEOxtWuzCBl&#10;EspBv1eWxzBJ2HrHp4NhmRtR7N2dD/GjopYloeIefczlFYubEHEloFtIus3SdWNM7qWxbFnxk/fg&#10;/80CD2OTRuWp2NDsQ89SXBmVMMZ+VhpVyRkkRZ5HdWk8WwhMkpBS2ZiTz7xAJ5RGEK9x3OD3Ub3G&#10;eZ3H9maycefcNpZ8zv5F2PXXbch6jUchD/JOYuymXR6Hs21np1Sv0HBP67cTnLxu0JQbEeK98Hgs&#10;aCQWQLzDRxtC8WkjcTYj//1v+oTHDMPK2RKPr+Lh21x4xZn5ZDHdZ73BALQxHwbHp30c/KFlemix&#10;8/aS0JUeVo2TWUz4aLai9tQ+YU9M0q0wCStxd8XjVryM65WAPSPVZJJBeJ9OxBv74GSiTk1KI/fY&#10;PQnvNnMZMdK3tH2mYvRiPNfY5GlpMo+kmzy7qc7rqm7qj7edR3qzh9LyODxn1H5bjn8BAAD//wMA&#10;UEsDBBQABgAIAAAAIQDrIwqY4gAAAAwBAAAPAAAAZHJzL2Rvd25yZXYueG1sTI/BTsMwEETvSPyD&#10;tUjcqE1EQ5rGqapIFRKCQ0sv3JzYTaLa6xC7beDrWU7luLOjmTfFanKWnc0Yeo8SHmcCmMHG6x5b&#10;CfuPzUMGLESFWlmPRsK3CbAqb28KlWt/wa0572LLKARDriR0MQ4556HpjFNh5geD9Dv40alI59hy&#10;PaoLhTvLEyFS7lSP1NCpwVSdaY67k5PwWm3e1bZOXPZjq5e3w3r42n/Opby/m9ZLYNFM8WqGP3xC&#10;h5KYan9CHZiVkKQpOUlPxIJGkSPNFiTVJD3NnwXwsuD/R5S/AAAA//8DAFBLAQItABQABgAIAAAA&#10;IQC2gziS/gAAAOEBAAATAAAAAAAAAAAAAAAAAAAAAABbQ29udGVudF9UeXBlc10ueG1sUEsBAi0A&#10;FAAGAAgAAAAhADj9If/WAAAAlAEAAAsAAAAAAAAAAAAAAAAALwEAAF9yZWxzLy5yZWxzUEsBAi0A&#10;FAAGAAgAAAAhAJwkpn6MAgAAdQUAAA4AAAAAAAAAAAAAAAAALgIAAGRycy9lMm9Eb2MueG1sUEsB&#10;Ai0AFAAGAAgAAAAhAOsjCpjiAAAADAEAAA8AAAAAAAAAAAAAAAAA5gQAAGRycy9kb3ducmV2Lnht&#10;bFBLBQYAAAAABAAEAPMAAAD1BQAAAAA=&#10;" filled="f" stroked="f" strokeweight=".5pt">
                <v:textbox>
                  <w:txbxContent>
                    <w:p w:rsidR="001875C3" w:rsidRPr="001B73A9" w:rsidRDefault="001875C3" w:rsidP="001B73A9">
                      <w:pPr>
                        <w:jc w:val="left"/>
                        <w:rPr>
                          <w:rFonts w:cs="Tahoma"/>
                          <w:sz w:val="24"/>
                          <w:szCs w:val="24"/>
                        </w:rPr>
                      </w:pPr>
                      <w:r w:rsidRPr="001B73A9">
                        <w:rPr>
                          <w:sz w:val="24"/>
                          <w:szCs w:val="24"/>
                        </w:rPr>
                        <w:t>Výzkumný ústav živočišné výroby, v.v.i.</w:t>
                      </w:r>
                      <w:r w:rsidRPr="001B73A9">
                        <w:rPr>
                          <w:sz w:val="24"/>
                          <w:szCs w:val="24"/>
                        </w:rPr>
                        <w:br/>
                        <w:t>Přátelství 815</w:t>
                      </w:r>
                      <w:r w:rsidRPr="001B73A9">
                        <w:rPr>
                          <w:sz w:val="24"/>
                          <w:szCs w:val="24"/>
                        </w:rPr>
                        <w:br/>
                        <w:t>104 00 Praha Uhříněves</w:t>
                      </w:r>
                      <w:r w:rsidRPr="001B73A9">
                        <w:rPr>
                          <w:rFonts w:cs="Tahoma"/>
                          <w:sz w:val="24"/>
                          <w:szCs w:val="24"/>
                        </w:rPr>
                        <w:t xml:space="preserve"> </w:t>
                      </w:r>
                    </w:p>
                    <w:p w:rsidR="001875C3" w:rsidRPr="00D82425" w:rsidRDefault="001875C3" w:rsidP="001B73A9">
                      <w:pPr>
                        <w:jc w:val="left"/>
                        <w:rPr>
                          <w:rFonts w:cs="Tahoma"/>
                          <w:sz w:val="36"/>
                          <w:szCs w:val="36"/>
                        </w:rPr>
                      </w:pPr>
                      <w:r>
                        <w:rPr>
                          <w:rFonts w:cs="Tahoma"/>
                          <w:sz w:val="36"/>
                          <w:szCs w:val="36"/>
                        </w:rPr>
                        <w:t>www</w:t>
                      </w:r>
                      <w:r w:rsidRPr="00D82425">
                        <w:rPr>
                          <w:rFonts w:cs="Tahoma"/>
                          <w:sz w:val="36"/>
                          <w:szCs w:val="36"/>
                        </w:rPr>
                        <w:t>.vuzv.cz</w:t>
                      </w:r>
                    </w:p>
                  </w:txbxContent>
                </v:textbox>
                <w10:wrap anchory="page"/>
              </v:shape>
            </w:pict>
          </mc:Fallback>
        </mc:AlternateContent>
      </w:r>
      <w:r w:rsidR="00D41126">
        <w:rPr>
          <w:noProof/>
        </w:rPr>
        <mc:AlternateContent>
          <mc:Choice Requires="wps">
            <w:drawing>
              <wp:anchor distT="0" distB="0" distL="114300" distR="114300" simplePos="0" relativeHeight="251655166" behindDoc="1" locked="0" layoutInCell="1" allowOverlap="1" wp14:anchorId="06DD7CA3" wp14:editId="7A03299E">
                <wp:simplePos x="0" y="0"/>
                <wp:positionH relativeFrom="column">
                  <wp:posOffset>-673100</wp:posOffset>
                </wp:positionH>
                <wp:positionV relativeFrom="page">
                  <wp:posOffset>15240</wp:posOffset>
                </wp:positionV>
                <wp:extent cx="7696835" cy="10774800"/>
                <wp:effectExtent l="0" t="0" r="0" b="7620"/>
                <wp:wrapNone/>
                <wp:docPr id="7181" name="Obdélník 7181"/>
                <wp:cNvGraphicFramePr/>
                <a:graphic xmlns:a="http://schemas.openxmlformats.org/drawingml/2006/main">
                  <a:graphicData uri="http://schemas.microsoft.com/office/word/2010/wordprocessingShape">
                    <wps:wsp>
                      <wps:cNvSpPr/>
                      <wps:spPr>
                        <a:xfrm>
                          <a:off x="0" y="0"/>
                          <a:ext cx="7696835" cy="10774800"/>
                        </a:xfrm>
                        <a:prstGeom prst="rect">
                          <a:avLst/>
                        </a:prstGeom>
                        <a:solidFill>
                          <a:srgbClr val="D6AD84">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181" o:spid="_x0000_s1026" style="position:absolute;margin-left:-53pt;margin-top:1.2pt;width:606.05pt;height:848.4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oltgIAAK8FAAAOAAAAZHJzL2Uyb0RvYy54bWysVM1u2zAMvg/YOwi6r7az/DWoUwQNOgwo&#10;2mLt0LMiy7ExWdQkJU72RjvsKfpioyTbDbpih2E5OJT48eOPSF5cHhpJ9sLYGlROs7OUEqE4FLXa&#10;5vTr4/WHOSXWMVUwCUrk9CgsvVy+f3fR6oUYQQWyEIYgibKLVue0ck4vksTySjTMnoEWCpUlmIY5&#10;PJptUhjWInsjk1GaTpMWTKENcGEt3q6jki4Df1kK7u7K0gpHZE4xNhe+Jnw3/pssL9hia5iuat6F&#10;wf4hiobVCp0OVGvmGNmZ+g+qpuYGLJTujEOTQFnWXIQcMJssfZXNQ8W0CLlgcaweymT/Hy2/3d8b&#10;Uhc5nWXzjBLFGnylu03x/FOq51/fSLjGKrXaLhD8oO9Nd7Io+pQPpWn8PyZDDqGyx6Gy4uAIx8vZ&#10;9Hw6/zihhKMuS2ez8TwNxU9e7LWx7pOAhnghpwbfLpSU7W+sQ58I7SHenQVZF9e1lOFgtpsracie&#10;4Tuvp6v1fBxtpa5YvB1N0vO5f2/ksREe5VMeqTybAs8bof4m8cnHdIPkjlJ4nFRfRInFwwRHwV1o&#10;WzEEwjgXymVRVbFCxEgmKf76SHyje4sQSyD0zCX6H7g7gh4ZSXruGGWH96YidP1gnP4tsGg8WATP&#10;oNxg3NQKzFsEErPqPEd8X6RYGl+lDRRHbC0Dceas5tc1PuwNs+6eGRwyHEdcHO4OP6WENqfQSZRU&#10;YH68de/x2PuopaTFoc2p/b5jRlAiPyucivNsPPZTHg7jyWyEB3Oq2Zxq1K65AuwXbHuMLoge72Qv&#10;lgaaJ9wvK+8VVUxx9J1T7kx/uHJxmeCG4mK1CjCcbM3cjXrQ3JP7qvrGfTw8MaO77nY4GbfQDzhb&#10;vGryiPWWClY7B2UdJuClrl29cSuExuk2mF87p+eAetmzy98AAAD//wMAUEsDBBQABgAIAAAAIQBo&#10;V1P64AAAAAwBAAAPAAAAZHJzL2Rvd25yZXYueG1sTI9BT4NAEIXvJv6HzZh4axfQEIssjTHl0niQ&#10;tj9gy45AYGcJu6Xor3d60tvMvJc338u3ix3EjJPvHCmI1xEIpNqZjhoFp2O5egHhgyajB0eo4Bs9&#10;bIv7u1xnxl2pwvkQGsEh5DOtoA1hzKT0dYtW+7UbkVj7cpPVgdepkWbSVw63g0yiKJVWd8QfWj3i&#10;e4t1f7hYBZ9Ptir3vv+pPqrdvA/9sitPlVKPD8vbK4iAS/gzww2f0aFgprO7kPFiULCKo5TLBAXJ&#10;M4ibgQ8xiDNP6WaTgCxy+b9E8QsAAP//AwBQSwECLQAUAAYACAAAACEAtoM4kv4AAADhAQAAEwAA&#10;AAAAAAAAAAAAAAAAAAAAW0NvbnRlbnRfVHlwZXNdLnhtbFBLAQItABQABgAIAAAAIQA4/SH/1gAA&#10;AJQBAAALAAAAAAAAAAAAAAAAAC8BAABfcmVscy8ucmVsc1BLAQItABQABgAIAAAAIQBpgWoltgIA&#10;AK8FAAAOAAAAAAAAAAAAAAAAAC4CAABkcnMvZTJvRG9jLnhtbFBLAQItABQABgAIAAAAIQBoV1P6&#10;4AAAAAwBAAAPAAAAAAAAAAAAAAAAABAFAABkcnMvZG93bnJldi54bWxQSwUGAAAAAAQABADzAAAA&#10;HQYAAAAA&#10;" fillcolor="#d6ad84" stroked="f" strokeweight="2pt">
                <v:fill opacity="16448f"/>
                <w10:wrap anchory="page"/>
              </v:rect>
            </w:pict>
          </mc:Fallback>
        </mc:AlternateContent>
      </w:r>
    </w:p>
    <w:sectPr w:rsidR="006B754B" w:rsidSect="001A30E1">
      <w:footerReference w:type="default" r:id="rId68"/>
      <w:pgSz w:w="11906" w:h="16838" w:code="9"/>
      <w:pgMar w:top="1134" w:right="964" w:bottom="1134" w:left="964" w:header="68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11" w:rsidRDefault="00283F11" w:rsidP="00BE3496">
      <w:pPr>
        <w:spacing w:before="0" w:line="240" w:lineRule="auto"/>
      </w:pPr>
      <w:r>
        <w:separator/>
      </w:r>
    </w:p>
    <w:p w:rsidR="00283F11" w:rsidRDefault="00283F11"/>
  </w:endnote>
  <w:endnote w:type="continuationSeparator" w:id="0">
    <w:p w:rsidR="00283F11" w:rsidRDefault="00283F11" w:rsidP="00BE3496">
      <w:pPr>
        <w:spacing w:before="0" w:line="240" w:lineRule="auto"/>
      </w:pPr>
      <w:r>
        <w:continuationSeparator/>
      </w:r>
    </w:p>
    <w:p w:rsidR="00283F11" w:rsidRDefault="00283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ato">
    <w:panose1 w:val="020F0502020204030203"/>
    <w:charset w:val="EE"/>
    <w:family w:val="swiss"/>
    <w:pitch w:val="variable"/>
    <w:sig w:usb0="E10002FF" w:usb1="5000ECFF" w:usb2="00000021" w:usb3="00000000" w:csb0="0000019F" w:csb1="00000000"/>
  </w:font>
  <w:font w:name="Lato Semibold">
    <w:panose1 w:val="020F0502020204030203"/>
    <w:charset w:val="EE"/>
    <w:family w:val="swiss"/>
    <w:pitch w:val="variable"/>
    <w:sig w:usb0="E10002FF" w:usb1="5000ECFF" w:usb2="00000021" w:usb3="00000000" w:csb0="0000019F" w:csb1="00000000"/>
  </w:font>
  <w:font w:name="Lato Medium">
    <w:panose1 w:val="020F0502020204030203"/>
    <w:charset w:val="EE"/>
    <w:family w:val="swiss"/>
    <w:pitch w:val="variable"/>
    <w:sig w:usb0="E10002FF" w:usb1="5000ECFF" w:usb2="00000021"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932176"/>
      <w:docPartObj>
        <w:docPartGallery w:val="Page Numbers (Bottom of Page)"/>
        <w:docPartUnique/>
      </w:docPartObj>
    </w:sdtPr>
    <w:sdtEndPr>
      <w:rPr>
        <w:szCs w:val="20"/>
      </w:rPr>
    </w:sdtEndPr>
    <w:sdtContent>
      <w:p w:rsidR="001875C3" w:rsidRPr="00E6005F" w:rsidRDefault="001875C3" w:rsidP="00E6005F">
        <w:pPr>
          <w:pStyle w:val="Zpat"/>
          <w:pBdr>
            <w:top w:val="single" w:sz="4" w:space="1" w:color="808080" w:themeColor="background1" w:themeShade="80"/>
          </w:pBdr>
          <w:jc w:val="center"/>
          <w:rPr>
            <w:szCs w:val="20"/>
          </w:rPr>
        </w:pPr>
        <w:r w:rsidRPr="00BE3496">
          <w:rPr>
            <w:szCs w:val="20"/>
          </w:rPr>
          <w:fldChar w:fldCharType="begin"/>
        </w:r>
        <w:r w:rsidRPr="00BE3496">
          <w:rPr>
            <w:szCs w:val="20"/>
          </w:rPr>
          <w:instrText>PAGE   \* MERGEFORMAT</w:instrText>
        </w:r>
        <w:r w:rsidRPr="00BE3496">
          <w:rPr>
            <w:szCs w:val="20"/>
          </w:rPr>
          <w:fldChar w:fldCharType="separate"/>
        </w:r>
        <w:r w:rsidR="00043DAD">
          <w:rPr>
            <w:noProof/>
            <w:szCs w:val="20"/>
          </w:rPr>
          <w:t>6</w:t>
        </w:r>
        <w:r w:rsidRPr="00BE3496">
          <w:rPr>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926564"/>
      <w:docPartObj>
        <w:docPartGallery w:val="Page Numbers (Bottom of Page)"/>
        <w:docPartUnique/>
      </w:docPartObj>
    </w:sdtPr>
    <w:sdtEndPr>
      <w:rPr>
        <w:szCs w:val="20"/>
      </w:rPr>
    </w:sdtEndPr>
    <w:sdtContent>
      <w:p w:rsidR="001875C3" w:rsidRPr="00BE3496" w:rsidRDefault="001875C3" w:rsidP="00BE3496">
        <w:pPr>
          <w:pStyle w:val="Zpat"/>
          <w:pBdr>
            <w:top w:val="single" w:sz="4" w:space="1" w:color="808080" w:themeColor="background1" w:themeShade="80"/>
          </w:pBdr>
          <w:jc w:val="center"/>
          <w:rPr>
            <w:szCs w:val="20"/>
          </w:rPr>
        </w:pPr>
        <w:r w:rsidRPr="00BE3496">
          <w:rPr>
            <w:szCs w:val="20"/>
          </w:rPr>
          <w:fldChar w:fldCharType="begin"/>
        </w:r>
        <w:r w:rsidRPr="00BE3496">
          <w:rPr>
            <w:szCs w:val="20"/>
          </w:rPr>
          <w:instrText>PAGE   \* MERGEFORMAT</w:instrText>
        </w:r>
        <w:r w:rsidRPr="00BE3496">
          <w:rPr>
            <w:szCs w:val="20"/>
          </w:rPr>
          <w:fldChar w:fldCharType="separate"/>
        </w:r>
        <w:r w:rsidR="00043DAD">
          <w:rPr>
            <w:noProof/>
            <w:szCs w:val="20"/>
          </w:rPr>
          <w:t>32</w:t>
        </w:r>
        <w:r w:rsidRPr="00BE3496">
          <w:rPr>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C3" w:rsidRPr="00D41126" w:rsidRDefault="001875C3" w:rsidP="00D4112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11" w:rsidRDefault="00283F11" w:rsidP="00BE3496">
      <w:pPr>
        <w:spacing w:before="0" w:line="240" w:lineRule="auto"/>
      </w:pPr>
      <w:r>
        <w:separator/>
      </w:r>
    </w:p>
    <w:p w:rsidR="00283F11" w:rsidRDefault="00283F11"/>
  </w:footnote>
  <w:footnote w:type="continuationSeparator" w:id="0">
    <w:p w:rsidR="00283F11" w:rsidRDefault="00283F11" w:rsidP="00BE3496">
      <w:pPr>
        <w:spacing w:before="0" w:line="240" w:lineRule="auto"/>
      </w:pPr>
      <w:r>
        <w:continuationSeparator/>
      </w:r>
    </w:p>
    <w:p w:rsidR="00283F11" w:rsidRDefault="00283F1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736E"/>
    <w:multiLevelType w:val="hybridMultilevel"/>
    <w:tmpl w:val="E12E307A"/>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135E56A0">
      <w:numFmt w:val="bullet"/>
      <w:lvlText w:val="•"/>
      <w:lvlJc w:val="left"/>
      <w:pPr>
        <w:ind w:left="1788" w:hanging="708"/>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3D732D"/>
    <w:multiLevelType w:val="hybridMultilevel"/>
    <w:tmpl w:val="A76AFEE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7DD07D2"/>
    <w:multiLevelType w:val="multilevel"/>
    <w:tmpl w:val="8752E098"/>
    <w:lvl w:ilvl="0">
      <w:numFmt w:val="bullet"/>
      <w:lvlText w:val="•"/>
      <w:lvlJc w:val="left"/>
      <w:pPr>
        <w:ind w:left="1065" w:hanging="705"/>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2EF76E7D"/>
    <w:multiLevelType w:val="hybridMultilevel"/>
    <w:tmpl w:val="DF50799C"/>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09E6B10"/>
    <w:multiLevelType w:val="hybridMultilevel"/>
    <w:tmpl w:val="1CBCDEE2"/>
    <w:lvl w:ilvl="0" w:tplc="3EF6AE36">
      <w:start w:val="1"/>
      <w:numFmt w:val="bullet"/>
      <w:lvlText w:val=""/>
      <w:lvlJc w:val="left"/>
      <w:pPr>
        <w:ind w:left="720" w:hanging="360"/>
      </w:pPr>
      <w:rPr>
        <w:rFonts w:ascii="Wingdings" w:hAnsi="Wingdings" w:hint="default"/>
        <w:b/>
        <w:i w:val="0"/>
        <w:color w:val="595959" w:themeColor="text1" w:themeTint="A6"/>
        <w:sz w:val="24"/>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1D0322C"/>
    <w:multiLevelType w:val="hybridMultilevel"/>
    <w:tmpl w:val="F05810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4FB46AD"/>
    <w:multiLevelType w:val="hybridMultilevel"/>
    <w:tmpl w:val="CC30D3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9720236"/>
    <w:multiLevelType w:val="hybridMultilevel"/>
    <w:tmpl w:val="F278945C"/>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B5E3CBC"/>
    <w:multiLevelType w:val="hybridMultilevel"/>
    <w:tmpl w:val="4D4CC0A2"/>
    <w:lvl w:ilvl="0" w:tplc="3536E2F8">
      <w:start w:val="1"/>
      <w:numFmt w:val="bullet"/>
      <w:lvlText w:val=""/>
      <w:lvlJc w:val="left"/>
      <w:pPr>
        <w:ind w:left="2487" w:hanging="360"/>
      </w:pPr>
      <w:rPr>
        <w:rFonts w:ascii="Webdings" w:hAnsi="Webdings" w:hint="default"/>
        <w:b/>
        <w:i w:val="0"/>
        <w:color w:val="808080" w:themeColor="background1" w:themeShade="80"/>
        <w:sz w:val="20"/>
        <w:szCs w:val="22"/>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9">
    <w:nsid w:val="3CEB3388"/>
    <w:multiLevelType w:val="hybridMultilevel"/>
    <w:tmpl w:val="9D3C71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EB44A70"/>
    <w:multiLevelType w:val="hybridMultilevel"/>
    <w:tmpl w:val="BA80302E"/>
    <w:lvl w:ilvl="0" w:tplc="E1226262">
      <w:start w:val="1"/>
      <w:numFmt w:val="bullet"/>
      <w:lvlText w:val=""/>
      <w:lvlJc w:val="left"/>
      <w:pPr>
        <w:ind w:left="720" w:hanging="360"/>
      </w:pPr>
      <w:rPr>
        <w:rFonts w:ascii="Wingdings 2" w:hAnsi="Wingdings 2" w:hint="default"/>
        <w:b/>
        <w:i w:val="0"/>
        <w:color w:val="595959" w:themeColor="text1" w:themeTint="A6"/>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58A11E2"/>
    <w:multiLevelType w:val="multilevel"/>
    <w:tmpl w:val="8CEA61CC"/>
    <w:lvl w:ilvl="0">
      <w:numFmt w:val="bullet"/>
      <w:lvlText w:val="•"/>
      <w:lvlJc w:val="left"/>
      <w:pPr>
        <w:ind w:left="1065" w:hanging="705"/>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4A0C0072"/>
    <w:multiLevelType w:val="hybridMultilevel"/>
    <w:tmpl w:val="A5FC41D4"/>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CAF2B2E"/>
    <w:multiLevelType w:val="hybridMultilevel"/>
    <w:tmpl w:val="955A445C"/>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FF7731A"/>
    <w:multiLevelType w:val="hybridMultilevel"/>
    <w:tmpl w:val="F1282E26"/>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05648FF"/>
    <w:multiLevelType w:val="hybridMultilevel"/>
    <w:tmpl w:val="57523646"/>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4E11033"/>
    <w:multiLevelType w:val="hybridMultilevel"/>
    <w:tmpl w:val="CC30D3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095710A"/>
    <w:multiLevelType w:val="hybridMultilevel"/>
    <w:tmpl w:val="D7601D86"/>
    <w:lvl w:ilvl="0" w:tplc="3536E2F8">
      <w:start w:val="1"/>
      <w:numFmt w:val="bullet"/>
      <w:lvlText w:val=""/>
      <w:lvlJc w:val="left"/>
      <w:pPr>
        <w:ind w:left="720" w:hanging="360"/>
      </w:pPr>
      <w:rPr>
        <w:rFonts w:ascii="Webdings" w:hAnsi="Webdings" w:hint="default"/>
        <w:b/>
        <w:i w:val="0"/>
        <w:color w:val="808080" w:themeColor="background1" w:themeShade="80"/>
        <w:sz w:val="20"/>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2D83FBC"/>
    <w:multiLevelType w:val="hybridMultilevel"/>
    <w:tmpl w:val="89E6A2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E30C5"/>
    <w:multiLevelType w:val="hybridMultilevel"/>
    <w:tmpl w:val="868E7EBE"/>
    <w:lvl w:ilvl="0" w:tplc="3536E2F8">
      <w:start w:val="1"/>
      <w:numFmt w:val="bullet"/>
      <w:lvlText w:val=""/>
      <w:lvlJc w:val="left"/>
      <w:pPr>
        <w:ind w:left="720" w:hanging="360"/>
      </w:pPr>
      <w:rPr>
        <w:rFonts w:ascii="Webdings" w:hAnsi="Webdings" w:hint="default"/>
        <w:b/>
        <w:i w:val="0"/>
        <w:color w:val="808080" w:themeColor="background1" w:themeShade="80"/>
        <w:sz w:val="20"/>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5D904D9"/>
    <w:multiLevelType w:val="hybridMultilevel"/>
    <w:tmpl w:val="31E481E2"/>
    <w:lvl w:ilvl="0" w:tplc="18B40C56">
      <w:start w:val="1"/>
      <w:numFmt w:val="bullet"/>
      <w:lvlText w:val=""/>
      <w:lvlJc w:val="left"/>
      <w:pPr>
        <w:ind w:left="720" w:hanging="360"/>
      </w:pPr>
      <w:rPr>
        <w:rFonts w:ascii="Wingdings 3" w:hAnsi="Wingdings 3" w:hint="default"/>
        <w:color w:val="7F7F7F" w:themeColor="text1" w:themeTint="80"/>
        <w:sz w:val="24"/>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B6B2996"/>
    <w:multiLevelType w:val="hybridMultilevel"/>
    <w:tmpl w:val="CC30D3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61B4AAF"/>
    <w:multiLevelType w:val="hybridMultilevel"/>
    <w:tmpl w:val="E110ACA6"/>
    <w:lvl w:ilvl="0" w:tplc="3EF6AE36">
      <w:start w:val="1"/>
      <w:numFmt w:val="bullet"/>
      <w:lvlText w:val=""/>
      <w:lvlJc w:val="left"/>
      <w:pPr>
        <w:ind w:left="720" w:hanging="360"/>
      </w:pPr>
      <w:rPr>
        <w:rFonts w:ascii="Wingdings" w:hAnsi="Wingdings" w:hint="default"/>
        <w:b/>
        <w:i w:val="0"/>
        <w:color w:val="595959" w:themeColor="text1" w:themeTint="A6"/>
        <w:sz w:val="24"/>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9591285"/>
    <w:multiLevelType w:val="hybridMultilevel"/>
    <w:tmpl w:val="4D84549E"/>
    <w:lvl w:ilvl="0" w:tplc="FEAEDC74">
      <w:start w:val="1"/>
      <w:numFmt w:val="bullet"/>
      <w:lvlText w:val="&lt;"/>
      <w:lvlJc w:val="left"/>
      <w:pPr>
        <w:ind w:left="720" w:hanging="360"/>
      </w:pPr>
      <w:rPr>
        <w:rFonts w:ascii="Webdings" w:hAnsi="Webdings" w:hint="default"/>
        <w:b/>
        <w:i w:val="0"/>
        <w:color w:val="595959" w:themeColor="text1" w:themeTint="A6"/>
        <w:sz w:val="24"/>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7"/>
  </w:num>
  <w:num w:numId="4">
    <w:abstractNumId w:val="13"/>
  </w:num>
  <w:num w:numId="5">
    <w:abstractNumId w:val="14"/>
  </w:num>
  <w:num w:numId="6">
    <w:abstractNumId w:val="0"/>
  </w:num>
  <w:num w:numId="7">
    <w:abstractNumId w:val="20"/>
  </w:num>
  <w:num w:numId="8">
    <w:abstractNumId w:val="15"/>
  </w:num>
  <w:num w:numId="9">
    <w:abstractNumId w:val="11"/>
  </w:num>
  <w:num w:numId="10">
    <w:abstractNumId w:val="2"/>
  </w:num>
  <w:num w:numId="11">
    <w:abstractNumId w:val="10"/>
  </w:num>
  <w:num w:numId="12">
    <w:abstractNumId w:val="4"/>
  </w:num>
  <w:num w:numId="13">
    <w:abstractNumId w:val="22"/>
  </w:num>
  <w:num w:numId="14">
    <w:abstractNumId w:val="23"/>
  </w:num>
  <w:num w:numId="15">
    <w:abstractNumId w:val="17"/>
  </w:num>
  <w:num w:numId="16">
    <w:abstractNumId w:val="19"/>
  </w:num>
  <w:num w:numId="17">
    <w:abstractNumId w:val="8"/>
  </w:num>
  <w:num w:numId="18">
    <w:abstractNumId w:val="18"/>
  </w:num>
  <w:num w:numId="19">
    <w:abstractNumId w:val="9"/>
  </w:num>
  <w:num w:numId="20">
    <w:abstractNumId w:val="21"/>
  </w:num>
  <w:num w:numId="21">
    <w:abstractNumId w:val="1"/>
  </w:num>
  <w:num w:numId="22">
    <w:abstractNumId w:val="5"/>
  </w:num>
  <w:num w:numId="23">
    <w:abstractNumId w:val="16"/>
  </w:num>
  <w:num w:numId="2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072"/>
    <w:rsid w:val="000013F3"/>
    <w:rsid w:val="000015CC"/>
    <w:rsid w:val="00003558"/>
    <w:rsid w:val="00004BFF"/>
    <w:rsid w:val="00004D64"/>
    <w:rsid w:val="00004ECB"/>
    <w:rsid w:val="0000716B"/>
    <w:rsid w:val="00007C2E"/>
    <w:rsid w:val="000102F1"/>
    <w:rsid w:val="00011EBC"/>
    <w:rsid w:val="0001213B"/>
    <w:rsid w:val="00014A75"/>
    <w:rsid w:val="000150CE"/>
    <w:rsid w:val="000227B9"/>
    <w:rsid w:val="000245F6"/>
    <w:rsid w:val="0002542E"/>
    <w:rsid w:val="0002578A"/>
    <w:rsid w:val="00027DD9"/>
    <w:rsid w:val="000303E9"/>
    <w:rsid w:val="00032088"/>
    <w:rsid w:val="00032C5E"/>
    <w:rsid w:val="00033354"/>
    <w:rsid w:val="00035173"/>
    <w:rsid w:val="00036A6E"/>
    <w:rsid w:val="000379CC"/>
    <w:rsid w:val="00040097"/>
    <w:rsid w:val="000413CF"/>
    <w:rsid w:val="0004218F"/>
    <w:rsid w:val="00043045"/>
    <w:rsid w:val="00043DAD"/>
    <w:rsid w:val="000479C6"/>
    <w:rsid w:val="0005022C"/>
    <w:rsid w:val="00051A56"/>
    <w:rsid w:val="00054661"/>
    <w:rsid w:val="00060C4A"/>
    <w:rsid w:val="00061CB4"/>
    <w:rsid w:val="0006537B"/>
    <w:rsid w:val="00065D50"/>
    <w:rsid w:val="0007103F"/>
    <w:rsid w:val="00071B3F"/>
    <w:rsid w:val="000774F4"/>
    <w:rsid w:val="000837CB"/>
    <w:rsid w:val="0008429F"/>
    <w:rsid w:val="000860A5"/>
    <w:rsid w:val="000906F8"/>
    <w:rsid w:val="00091283"/>
    <w:rsid w:val="000921F9"/>
    <w:rsid w:val="00092381"/>
    <w:rsid w:val="000931A2"/>
    <w:rsid w:val="00093627"/>
    <w:rsid w:val="000A3C0A"/>
    <w:rsid w:val="000A653B"/>
    <w:rsid w:val="000A6A8E"/>
    <w:rsid w:val="000B5268"/>
    <w:rsid w:val="000C492B"/>
    <w:rsid w:val="000C5E4C"/>
    <w:rsid w:val="000D1D91"/>
    <w:rsid w:val="000D24D0"/>
    <w:rsid w:val="000D4F8F"/>
    <w:rsid w:val="000D648B"/>
    <w:rsid w:val="000E0EA8"/>
    <w:rsid w:val="000E5994"/>
    <w:rsid w:val="000F1259"/>
    <w:rsid w:val="000F1524"/>
    <w:rsid w:val="000F34CA"/>
    <w:rsid w:val="000F6D86"/>
    <w:rsid w:val="0010055B"/>
    <w:rsid w:val="0010123A"/>
    <w:rsid w:val="00106F57"/>
    <w:rsid w:val="00107B4F"/>
    <w:rsid w:val="0011100C"/>
    <w:rsid w:val="0011523F"/>
    <w:rsid w:val="001152A3"/>
    <w:rsid w:val="0012133F"/>
    <w:rsid w:val="001224D5"/>
    <w:rsid w:val="001224DD"/>
    <w:rsid w:val="00123919"/>
    <w:rsid w:val="001254E7"/>
    <w:rsid w:val="00125588"/>
    <w:rsid w:val="001349CD"/>
    <w:rsid w:val="00134D02"/>
    <w:rsid w:val="0013761E"/>
    <w:rsid w:val="00137D8D"/>
    <w:rsid w:val="0014369E"/>
    <w:rsid w:val="001445AA"/>
    <w:rsid w:val="001446F2"/>
    <w:rsid w:val="00147C3F"/>
    <w:rsid w:val="001565A1"/>
    <w:rsid w:val="00156B55"/>
    <w:rsid w:val="00157C46"/>
    <w:rsid w:val="00157F27"/>
    <w:rsid w:val="001657DC"/>
    <w:rsid w:val="001764F6"/>
    <w:rsid w:val="00177483"/>
    <w:rsid w:val="0018038F"/>
    <w:rsid w:val="00183E5D"/>
    <w:rsid w:val="0018656B"/>
    <w:rsid w:val="001875C3"/>
    <w:rsid w:val="001902FD"/>
    <w:rsid w:val="00192365"/>
    <w:rsid w:val="00193C4E"/>
    <w:rsid w:val="00195592"/>
    <w:rsid w:val="001A30E1"/>
    <w:rsid w:val="001A4867"/>
    <w:rsid w:val="001A5ED5"/>
    <w:rsid w:val="001B0F07"/>
    <w:rsid w:val="001B3DA2"/>
    <w:rsid w:val="001B41F7"/>
    <w:rsid w:val="001B43CA"/>
    <w:rsid w:val="001B73A9"/>
    <w:rsid w:val="001C1615"/>
    <w:rsid w:val="001C44B4"/>
    <w:rsid w:val="001C568C"/>
    <w:rsid w:val="001C5C49"/>
    <w:rsid w:val="001D0B82"/>
    <w:rsid w:val="001D12F5"/>
    <w:rsid w:val="001D2E7D"/>
    <w:rsid w:val="001D5274"/>
    <w:rsid w:val="001E04DB"/>
    <w:rsid w:val="001E1201"/>
    <w:rsid w:val="001E2020"/>
    <w:rsid w:val="001E26F4"/>
    <w:rsid w:val="001E2FEE"/>
    <w:rsid w:val="001E341C"/>
    <w:rsid w:val="001E3FE0"/>
    <w:rsid w:val="001E4C4A"/>
    <w:rsid w:val="001E4D4F"/>
    <w:rsid w:val="001E4FD7"/>
    <w:rsid w:val="001E5048"/>
    <w:rsid w:val="001F2461"/>
    <w:rsid w:val="001F3D0F"/>
    <w:rsid w:val="00201068"/>
    <w:rsid w:val="002040FE"/>
    <w:rsid w:val="0020568F"/>
    <w:rsid w:val="00205845"/>
    <w:rsid w:val="002062FD"/>
    <w:rsid w:val="00211876"/>
    <w:rsid w:val="002136EC"/>
    <w:rsid w:val="0021582B"/>
    <w:rsid w:val="0021689B"/>
    <w:rsid w:val="00221E3D"/>
    <w:rsid w:val="002221AD"/>
    <w:rsid w:val="00224DCC"/>
    <w:rsid w:val="00227B10"/>
    <w:rsid w:val="00227B27"/>
    <w:rsid w:val="00230F8E"/>
    <w:rsid w:val="002337DB"/>
    <w:rsid w:val="0023672D"/>
    <w:rsid w:val="00237395"/>
    <w:rsid w:val="00237C83"/>
    <w:rsid w:val="00242EC7"/>
    <w:rsid w:val="002435BF"/>
    <w:rsid w:val="002462AA"/>
    <w:rsid w:val="0025030B"/>
    <w:rsid w:val="002552D3"/>
    <w:rsid w:val="00255EED"/>
    <w:rsid w:val="00262573"/>
    <w:rsid w:val="002625DA"/>
    <w:rsid w:val="00271072"/>
    <w:rsid w:val="00272538"/>
    <w:rsid w:val="0027475E"/>
    <w:rsid w:val="0027637E"/>
    <w:rsid w:val="00276ADD"/>
    <w:rsid w:val="00276B2D"/>
    <w:rsid w:val="0028137D"/>
    <w:rsid w:val="00283568"/>
    <w:rsid w:val="00283B54"/>
    <w:rsid w:val="00283F11"/>
    <w:rsid w:val="002871EA"/>
    <w:rsid w:val="00287F01"/>
    <w:rsid w:val="00297BD4"/>
    <w:rsid w:val="002A0136"/>
    <w:rsid w:val="002A05BE"/>
    <w:rsid w:val="002A0E0A"/>
    <w:rsid w:val="002A1CD2"/>
    <w:rsid w:val="002A2392"/>
    <w:rsid w:val="002A2FBD"/>
    <w:rsid w:val="002A3E80"/>
    <w:rsid w:val="002A49A3"/>
    <w:rsid w:val="002A49A5"/>
    <w:rsid w:val="002A574A"/>
    <w:rsid w:val="002B06D0"/>
    <w:rsid w:val="002B1062"/>
    <w:rsid w:val="002B1C2B"/>
    <w:rsid w:val="002B7941"/>
    <w:rsid w:val="002C1290"/>
    <w:rsid w:val="002C1535"/>
    <w:rsid w:val="002C2923"/>
    <w:rsid w:val="002C51F8"/>
    <w:rsid w:val="002C5958"/>
    <w:rsid w:val="002C5C1E"/>
    <w:rsid w:val="002D5B64"/>
    <w:rsid w:val="002D64E3"/>
    <w:rsid w:val="002E68B8"/>
    <w:rsid w:val="002F0F8A"/>
    <w:rsid w:val="002F4606"/>
    <w:rsid w:val="002F4B62"/>
    <w:rsid w:val="003022C7"/>
    <w:rsid w:val="003054B1"/>
    <w:rsid w:val="00305513"/>
    <w:rsid w:val="003121F3"/>
    <w:rsid w:val="00313E71"/>
    <w:rsid w:val="0031504E"/>
    <w:rsid w:val="00320636"/>
    <w:rsid w:val="00322234"/>
    <w:rsid w:val="0032492C"/>
    <w:rsid w:val="0032640D"/>
    <w:rsid w:val="0033309A"/>
    <w:rsid w:val="0033615E"/>
    <w:rsid w:val="003407EF"/>
    <w:rsid w:val="00340D8F"/>
    <w:rsid w:val="00344898"/>
    <w:rsid w:val="00351AFF"/>
    <w:rsid w:val="0035737E"/>
    <w:rsid w:val="00360CA2"/>
    <w:rsid w:val="0036250A"/>
    <w:rsid w:val="003634E2"/>
    <w:rsid w:val="00364FFA"/>
    <w:rsid w:val="00374627"/>
    <w:rsid w:val="00375582"/>
    <w:rsid w:val="00382DCD"/>
    <w:rsid w:val="00384A9E"/>
    <w:rsid w:val="0039127E"/>
    <w:rsid w:val="003972B3"/>
    <w:rsid w:val="003A54A8"/>
    <w:rsid w:val="003A657B"/>
    <w:rsid w:val="003B070C"/>
    <w:rsid w:val="003B22C5"/>
    <w:rsid w:val="003B2C29"/>
    <w:rsid w:val="003B3272"/>
    <w:rsid w:val="003B3A9A"/>
    <w:rsid w:val="003C0661"/>
    <w:rsid w:val="003C2CF9"/>
    <w:rsid w:val="003C6C61"/>
    <w:rsid w:val="003C72D4"/>
    <w:rsid w:val="003D01D7"/>
    <w:rsid w:val="003D1558"/>
    <w:rsid w:val="003D1C6D"/>
    <w:rsid w:val="003D2FF4"/>
    <w:rsid w:val="003D3211"/>
    <w:rsid w:val="003E0C17"/>
    <w:rsid w:val="003E0DBE"/>
    <w:rsid w:val="003E1398"/>
    <w:rsid w:val="003E763C"/>
    <w:rsid w:val="003F01BA"/>
    <w:rsid w:val="003F7148"/>
    <w:rsid w:val="003F748B"/>
    <w:rsid w:val="00400720"/>
    <w:rsid w:val="00400C5A"/>
    <w:rsid w:val="00403160"/>
    <w:rsid w:val="0040622E"/>
    <w:rsid w:val="00411798"/>
    <w:rsid w:val="00413141"/>
    <w:rsid w:val="004157A8"/>
    <w:rsid w:val="00421CFD"/>
    <w:rsid w:val="004229A9"/>
    <w:rsid w:val="00426087"/>
    <w:rsid w:val="004350E4"/>
    <w:rsid w:val="00441209"/>
    <w:rsid w:val="00442434"/>
    <w:rsid w:val="0044257D"/>
    <w:rsid w:val="0044798E"/>
    <w:rsid w:val="004515E8"/>
    <w:rsid w:val="00452115"/>
    <w:rsid w:val="00455426"/>
    <w:rsid w:val="00455967"/>
    <w:rsid w:val="00460728"/>
    <w:rsid w:val="004661B0"/>
    <w:rsid w:val="00467C93"/>
    <w:rsid w:val="00470828"/>
    <w:rsid w:val="00474B0E"/>
    <w:rsid w:val="0047509B"/>
    <w:rsid w:val="004804E4"/>
    <w:rsid w:val="0048276C"/>
    <w:rsid w:val="0048394C"/>
    <w:rsid w:val="004843F2"/>
    <w:rsid w:val="00484E81"/>
    <w:rsid w:val="00485090"/>
    <w:rsid w:val="00486454"/>
    <w:rsid w:val="00490EB4"/>
    <w:rsid w:val="00491429"/>
    <w:rsid w:val="004927EA"/>
    <w:rsid w:val="00495DE7"/>
    <w:rsid w:val="004975C2"/>
    <w:rsid w:val="004A148E"/>
    <w:rsid w:val="004A1BBB"/>
    <w:rsid w:val="004A48F1"/>
    <w:rsid w:val="004B057F"/>
    <w:rsid w:val="004B07D3"/>
    <w:rsid w:val="004B09CE"/>
    <w:rsid w:val="004B0B81"/>
    <w:rsid w:val="004B17F3"/>
    <w:rsid w:val="004B3588"/>
    <w:rsid w:val="004B4B9C"/>
    <w:rsid w:val="004B77ED"/>
    <w:rsid w:val="004C4286"/>
    <w:rsid w:val="004D017B"/>
    <w:rsid w:val="004D05FF"/>
    <w:rsid w:val="004D0E03"/>
    <w:rsid w:val="004D1989"/>
    <w:rsid w:val="004D1B52"/>
    <w:rsid w:val="004D3D09"/>
    <w:rsid w:val="004D4DA3"/>
    <w:rsid w:val="004E4FFF"/>
    <w:rsid w:val="004E5E8D"/>
    <w:rsid w:val="004E7471"/>
    <w:rsid w:val="004E782D"/>
    <w:rsid w:val="004F57BB"/>
    <w:rsid w:val="0050629D"/>
    <w:rsid w:val="00512AE4"/>
    <w:rsid w:val="00515243"/>
    <w:rsid w:val="00516670"/>
    <w:rsid w:val="0052089A"/>
    <w:rsid w:val="00520DE2"/>
    <w:rsid w:val="00525EEA"/>
    <w:rsid w:val="00527D10"/>
    <w:rsid w:val="0053132C"/>
    <w:rsid w:val="00531782"/>
    <w:rsid w:val="005377E0"/>
    <w:rsid w:val="00544048"/>
    <w:rsid w:val="00546560"/>
    <w:rsid w:val="005476F2"/>
    <w:rsid w:val="0055027A"/>
    <w:rsid w:val="0055125D"/>
    <w:rsid w:val="00553847"/>
    <w:rsid w:val="00553B54"/>
    <w:rsid w:val="00556295"/>
    <w:rsid w:val="005625C4"/>
    <w:rsid w:val="0056648A"/>
    <w:rsid w:val="005675CC"/>
    <w:rsid w:val="00567DF6"/>
    <w:rsid w:val="0057040F"/>
    <w:rsid w:val="00571909"/>
    <w:rsid w:val="00572A28"/>
    <w:rsid w:val="00580ED1"/>
    <w:rsid w:val="00581035"/>
    <w:rsid w:val="00581227"/>
    <w:rsid w:val="00581CB8"/>
    <w:rsid w:val="00583505"/>
    <w:rsid w:val="005946A7"/>
    <w:rsid w:val="005958BC"/>
    <w:rsid w:val="005A017C"/>
    <w:rsid w:val="005A3112"/>
    <w:rsid w:val="005A3446"/>
    <w:rsid w:val="005A5A7B"/>
    <w:rsid w:val="005A5CDE"/>
    <w:rsid w:val="005A76E7"/>
    <w:rsid w:val="005B1C60"/>
    <w:rsid w:val="005B76B4"/>
    <w:rsid w:val="005C016B"/>
    <w:rsid w:val="005C68CE"/>
    <w:rsid w:val="005D1498"/>
    <w:rsid w:val="005D22CA"/>
    <w:rsid w:val="005D3DC1"/>
    <w:rsid w:val="005D4C60"/>
    <w:rsid w:val="005D7AEA"/>
    <w:rsid w:val="005D7CF6"/>
    <w:rsid w:val="005E144B"/>
    <w:rsid w:val="005E2082"/>
    <w:rsid w:val="005E2FB9"/>
    <w:rsid w:val="005E43F2"/>
    <w:rsid w:val="005E55C1"/>
    <w:rsid w:val="005E5998"/>
    <w:rsid w:val="005F2D35"/>
    <w:rsid w:val="005F5090"/>
    <w:rsid w:val="005F6126"/>
    <w:rsid w:val="006008F4"/>
    <w:rsid w:val="00601B1C"/>
    <w:rsid w:val="00602069"/>
    <w:rsid w:val="00602850"/>
    <w:rsid w:val="00602B07"/>
    <w:rsid w:val="00605B1E"/>
    <w:rsid w:val="00607715"/>
    <w:rsid w:val="006200F0"/>
    <w:rsid w:val="006228BE"/>
    <w:rsid w:val="00623A31"/>
    <w:rsid w:val="006249D4"/>
    <w:rsid w:val="00630336"/>
    <w:rsid w:val="00631736"/>
    <w:rsid w:val="00632428"/>
    <w:rsid w:val="00633525"/>
    <w:rsid w:val="00633815"/>
    <w:rsid w:val="00634261"/>
    <w:rsid w:val="00640FC5"/>
    <w:rsid w:val="006424EB"/>
    <w:rsid w:val="0064624D"/>
    <w:rsid w:val="006470DD"/>
    <w:rsid w:val="0064742D"/>
    <w:rsid w:val="006514CD"/>
    <w:rsid w:val="00651F13"/>
    <w:rsid w:val="00653D81"/>
    <w:rsid w:val="00654BAB"/>
    <w:rsid w:val="0065611F"/>
    <w:rsid w:val="00656C98"/>
    <w:rsid w:val="00656E78"/>
    <w:rsid w:val="0065731D"/>
    <w:rsid w:val="00657A62"/>
    <w:rsid w:val="006604B4"/>
    <w:rsid w:val="006675AE"/>
    <w:rsid w:val="00676450"/>
    <w:rsid w:val="00680FD3"/>
    <w:rsid w:val="00681999"/>
    <w:rsid w:val="006915BC"/>
    <w:rsid w:val="006948B8"/>
    <w:rsid w:val="006976EC"/>
    <w:rsid w:val="00697D8E"/>
    <w:rsid w:val="006A4E5A"/>
    <w:rsid w:val="006A7005"/>
    <w:rsid w:val="006A70EC"/>
    <w:rsid w:val="006B5501"/>
    <w:rsid w:val="006B55AA"/>
    <w:rsid w:val="006B754B"/>
    <w:rsid w:val="006B7E0B"/>
    <w:rsid w:val="006C0F67"/>
    <w:rsid w:val="006C5E1B"/>
    <w:rsid w:val="006D056E"/>
    <w:rsid w:val="006D3CB8"/>
    <w:rsid w:val="006D6632"/>
    <w:rsid w:val="006E135B"/>
    <w:rsid w:val="006E3DD5"/>
    <w:rsid w:val="006F2436"/>
    <w:rsid w:val="006F3AD8"/>
    <w:rsid w:val="006F5316"/>
    <w:rsid w:val="006F6C69"/>
    <w:rsid w:val="00701E94"/>
    <w:rsid w:val="00702E82"/>
    <w:rsid w:val="00706834"/>
    <w:rsid w:val="00706D34"/>
    <w:rsid w:val="00707C9E"/>
    <w:rsid w:val="0071145C"/>
    <w:rsid w:val="00712095"/>
    <w:rsid w:val="007124F0"/>
    <w:rsid w:val="007130F9"/>
    <w:rsid w:val="00713679"/>
    <w:rsid w:val="00714770"/>
    <w:rsid w:val="00714EC6"/>
    <w:rsid w:val="00717A8F"/>
    <w:rsid w:val="00720C2F"/>
    <w:rsid w:val="007222EE"/>
    <w:rsid w:val="00724577"/>
    <w:rsid w:val="00725125"/>
    <w:rsid w:val="00731D66"/>
    <w:rsid w:val="0073240D"/>
    <w:rsid w:val="00733DBF"/>
    <w:rsid w:val="00734EDC"/>
    <w:rsid w:val="0073616C"/>
    <w:rsid w:val="007369DF"/>
    <w:rsid w:val="00742924"/>
    <w:rsid w:val="00742DC9"/>
    <w:rsid w:val="007437A0"/>
    <w:rsid w:val="00743849"/>
    <w:rsid w:val="00744FCE"/>
    <w:rsid w:val="00752770"/>
    <w:rsid w:val="007576CD"/>
    <w:rsid w:val="0076184C"/>
    <w:rsid w:val="007623D1"/>
    <w:rsid w:val="007632A8"/>
    <w:rsid w:val="00763BF5"/>
    <w:rsid w:val="00767DA1"/>
    <w:rsid w:val="00771156"/>
    <w:rsid w:val="00772A37"/>
    <w:rsid w:val="00772EC1"/>
    <w:rsid w:val="00776C22"/>
    <w:rsid w:val="0078209B"/>
    <w:rsid w:val="00785368"/>
    <w:rsid w:val="007856EB"/>
    <w:rsid w:val="00787A4F"/>
    <w:rsid w:val="00792882"/>
    <w:rsid w:val="0079314C"/>
    <w:rsid w:val="00794D4C"/>
    <w:rsid w:val="007966A7"/>
    <w:rsid w:val="007A0B58"/>
    <w:rsid w:val="007A43F4"/>
    <w:rsid w:val="007A4770"/>
    <w:rsid w:val="007A47F4"/>
    <w:rsid w:val="007A71BA"/>
    <w:rsid w:val="007B4608"/>
    <w:rsid w:val="007C08C9"/>
    <w:rsid w:val="007D266F"/>
    <w:rsid w:val="007D3B80"/>
    <w:rsid w:val="007D4423"/>
    <w:rsid w:val="007D729E"/>
    <w:rsid w:val="007E10BE"/>
    <w:rsid w:val="007E6525"/>
    <w:rsid w:val="007E6F65"/>
    <w:rsid w:val="007F2D1D"/>
    <w:rsid w:val="007F4EDD"/>
    <w:rsid w:val="007F4FCF"/>
    <w:rsid w:val="007F5217"/>
    <w:rsid w:val="007F6016"/>
    <w:rsid w:val="00802598"/>
    <w:rsid w:val="00803807"/>
    <w:rsid w:val="008132B6"/>
    <w:rsid w:val="00813DE0"/>
    <w:rsid w:val="00813FDC"/>
    <w:rsid w:val="008143F8"/>
    <w:rsid w:val="0082563A"/>
    <w:rsid w:val="00830609"/>
    <w:rsid w:val="008321B3"/>
    <w:rsid w:val="00835004"/>
    <w:rsid w:val="00836A14"/>
    <w:rsid w:val="00841D8E"/>
    <w:rsid w:val="00850164"/>
    <w:rsid w:val="00852F96"/>
    <w:rsid w:val="00856852"/>
    <w:rsid w:val="00857793"/>
    <w:rsid w:val="008614F9"/>
    <w:rsid w:val="008618FE"/>
    <w:rsid w:val="008619A6"/>
    <w:rsid w:val="00861FE5"/>
    <w:rsid w:val="00862BD6"/>
    <w:rsid w:val="00863EB3"/>
    <w:rsid w:val="008713C4"/>
    <w:rsid w:val="00876F9C"/>
    <w:rsid w:val="0087791B"/>
    <w:rsid w:val="008816AC"/>
    <w:rsid w:val="00885265"/>
    <w:rsid w:val="0088530C"/>
    <w:rsid w:val="00886FC3"/>
    <w:rsid w:val="00890DCC"/>
    <w:rsid w:val="008957D1"/>
    <w:rsid w:val="008A0DA7"/>
    <w:rsid w:val="008A5C91"/>
    <w:rsid w:val="008A67CD"/>
    <w:rsid w:val="008B0F6F"/>
    <w:rsid w:val="008B2C55"/>
    <w:rsid w:val="008B5A43"/>
    <w:rsid w:val="008D0B1C"/>
    <w:rsid w:val="008D1E32"/>
    <w:rsid w:val="008D3E85"/>
    <w:rsid w:val="008D50D8"/>
    <w:rsid w:val="008E68C6"/>
    <w:rsid w:val="008F1CA9"/>
    <w:rsid w:val="008F237B"/>
    <w:rsid w:val="008F48AE"/>
    <w:rsid w:val="008F650E"/>
    <w:rsid w:val="008F7CC6"/>
    <w:rsid w:val="0090001F"/>
    <w:rsid w:val="00900357"/>
    <w:rsid w:val="00903AFC"/>
    <w:rsid w:val="009068FF"/>
    <w:rsid w:val="00912DFD"/>
    <w:rsid w:val="00912EDA"/>
    <w:rsid w:val="00913790"/>
    <w:rsid w:val="009166A4"/>
    <w:rsid w:val="0091674E"/>
    <w:rsid w:val="00924945"/>
    <w:rsid w:val="00924A1A"/>
    <w:rsid w:val="0092726E"/>
    <w:rsid w:val="009322B6"/>
    <w:rsid w:val="00932376"/>
    <w:rsid w:val="00934C81"/>
    <w:rsid w:val="00937326"/>
    <w:rsid w:val="00940F6C"/>
    <w:rsid w:val="0094112E"/>
    <w:rsid w:val="0094160E"/>
    <w:rsid w:val="00942137"/>
    <w:rsid w:val="00944893"/>
    <w:rsid w:val="009472EB"/>
    <w:rsid w:val="009500AC"/>
    <w:rsid w:val="009524EB"/>
    <w:rsid w:val="00953CD0"/>
    <w:rsid w:val="00954D26"/>
    <w:rsid w:val="00962DE6"/>
    <w:rsid w:val="00963A09"/>
    <w:rsid w:val="009642BF"/>
    <w:rsid w:val="009658FA"/>
    <w:rsid w:val="009713EC"/>
    <w:rsid w:val="0097144F"/>
    <w:rsid w:val="0097348D"/>
    <w:rsid w:val="00975855"/>
    <w:rsid w:val="009760B4"/>
    <w:rsid w:val="00983691"/>
    <w:rsid w:val="00984A08"/>
    <w:rsid w:val="00987213"/>
    <w:rsid w:val="0099489C"/>
    <w:rsid w:val="0099497B"/>
    <w:rsid w:val="00995197"/>
    <w:rsid w:val="009A0CFE"/>
    <w:rsid w:val="009A2126"/>
    <w:rsid w:val="009A492E"/>
    <w:rsid w:val="009A5EC9"/>
    <w:rsid w:val="009A7DED"/>
    <w:rsid w:val="009B284F"/>
    <w:rsid w:val="009B37BF"/>
    <w:rsid w:val="009B4A0E"/>
    <w:rsid w:val="009C1966"/>
    <w:rsid w:val="009C1C6E"/>
    <w:rsid w:val="009C6642"/>
    <w:rsid w:val="009C69ED"/>
    <w:rsid w:val="009C76F5"/>
    <w:rsid w:val="009D45D6"/>
    <w:rsid w:val="009E1FEF"/>
    <w:rsid w:val="009E53BB"/>
    <w:rsid w:val="009E7B96"/>
    <w:rsid w:val="009F0216"/>
    <w:rsid w:val="009F0D63"/>
    <w:rsid w:val="009F18A1"/>
    <w:rsid w:val="009F5E48"/>
    <w:rsid w:val="009F740C"/>
    <w:rsid w:val="009F75B9"/>
    <w:rsid w:val="009F7A78"/>
    <w:rsid w:val="00A02BF4"/>
    <w:rsid w:val="00A03288"/>
    <w:rsid w:val="00A03D17"/>
    <w:rsid w:val="00A064CC"/>
    <w:rsid w:val="00A065BE"/>
    <w:rsid w:val="00A07443"/>
    <w:rsid w:val="00A107A2"/>
    <w:rsid w:val="00A14B2A"/>
    <w:rsid w:val="00A1607E"/>
    <w:rsid w:val="00A3691B"/>
    <w:rsid w:val="00A3756C"/>
    <w:rsid w:val="00A41C91"/>
    <w:rsid w:val="00A4302E"/>
    <w:rsid w:val="00A44813"/>
    <w:rsid w:val="00A44DF1"/>
    <w:rsid w:val="00A47761"/>
    <w:rsid w:val="00A55ACE"/>
    <w:rsid w:val="00A56B87"/>
    <w:rsid w:val="00A56F14"/>
    <w:rsid w:val="00A60223"/>
    <w:rsid w:val="00A61FF8"/>
    <w:rsid w:val="00A67D5B"/>
    <w:rsid w:val="00A7110D"/>
    <w:rsid w:val="00A754C9"/>
    <w:rsid w:val="00A76D80"/>
    <w:rsid w:val="00A80DD0"/>
    <w:rsid w:val="00A83EF8"/>
    <w:rsid w:val="00A846EB"/>
    <w:rsid w:val="00A8730D"/>
    <w:rsid w:val="00A90DEF"/>
    <w:rsid w:val="00A912F9"/>
    <w:rsid w:val="00A91F6F"/>
    <w:rsid w:val="00A94DA6"/>
    <w:rsid w:val="00AA293E"/>
    <w:rsid w:val="00AB35CA"/>
    <w:rsid w:val="00AB4384"/>
    <w:rsid w:val="00AB5BA2"/>
    <w:rsid w:val="00AC2820"/>
    <w:rsid w:val="00AC415B"/>
    <w:rsid w:val="00AD03F8"/>
    <w:rsid w:val="00AD5133"/>
    <w:rsid w:val="00AD7562"/>
    <w:rsid w:val="00AD75A0"/>
    <w:rsid w:val="00AE051C"/>
    <w:rsid w:val="00AE2E7B"/>
    <w:rsid w:val="00AE3A56"/>
    <w:rsid w:val="00AE3B3E"/>
    <w:rsid w:val="00AE4385"/>
    <w:rsid w:val="00AE6A94"/>
    <w:rsid w:val="00AE6FAF"/>
    <w:rsid w:val="00AE75B8"/>
    <w:rsid w:val="00AE77B0"/>
    <w:rsid w:val="00AF232D"/>
    <w:rsid w:val="00AF374D"/>
    <w:rsid w:val="00AF47D3"/>
    <w:rsid w:val="00B056A9"/>
    <w:rsid w:val="00B1795B"/>
    <w:rsid w:val="00B20718"/>
    <w:rsid w:val="00B210ED"/>
    <w:rsid w:val="00B24820"/>
    <w:rsid w:val="00B30BBB"/>
    <w:rsid w:val="00B31082"/>
    <w:rsid w:val="00B317E7"/>
    <w:rsid w:val="00B31FDF"/>
    <w:rsid w:val="00B32CAA"/>
    <w:rsid w:val="00B336B0"/>
    <w:rsid w:val="00B33B83"/>
    <w:rsid w:val="00B35879"/>
    <w:rsid w:val="00B45CA3"/>
    <w:rsid w:val="00B45FB8"/>
    <w:rsid w:val="00B51409"/>
    <w:rsid w:val="00B5294D"/>
    <w:rsid w:val="00B53349"/>
    <w:rsid w:val="00B5399C"/>
    <w:rsid w:val="00B53B0C"/>
    <w:rsid w:val="00B56040"/>
    <w:rsid w:val="00B665D4"/>
    <w:rsid w:val="00B81257"/>
    <w:rsid w:val="00B81970"/>
    <w:rsid w:val="00B84C7D"/>
    <w:rsid w:val="00B865B1"/>
    <w:rsid w:val="00B868A0"/>
    <w:rsid w:val="00B869A6"/>
    <w:rsid w:val="00B86F05"/>
    <w:rsid w:val="00B90F91"/>
    <w:rsid w:val="00B91909"/>
    <w:rsid w:val="00B957CC"/>
    <w:rsid w:val="00B95C56"/>
    <w:rsid w:val="00B97784"/>
    <w:rsid w:val="00BA0975"/>
    <w:rsid w:val="00BA09A4"/>
    <w:rsid w:val="00BA0B8B"/>
    <w:rsid w:val="00BA5EE3"/>
    <w:rsid w:val="00BB2E16"/>
    <w:rsid w:val="00BC0249"/>
    <w:rsid w:val="00BC0DA6"/>
    <w:rsid w:val="00BC139E"/>
    <w:rsid w:val="00BC195E"/>
    <w:rsid w:val="00BC26ED"/>
    <w:rsid w:val="00BC478C"/>
    <w:rsid w:val="00BD0EC6"/>
    <w:rsid w:val="00BD24DE"/>
    <w:rsid w:val="00BD6E32"/>
    <w:rsid w:val="00BD7AA2"/>
    <w:rsid w:val="00BD7F01"/>
    <w:rsid w:val="00BE26FF"/>
    <w:rsid w:val="00BE33D0"/>
    <w:rsid w:val="00BE3496"/>
    <w:rsid w:val="00BF02A0"/>
    <w:rsid w:val="00BF0BCD"/>
    <w:rsid w:val="00BF10A5"/>
    <w:rsid w:val="00BF2BC9"/>
    <w:rsid w:val="00C01A84"/>
    <w:rsid w:val="00C036D4"/>
    <w:rsid w:val="00C0722A"/>
    <w:rsid w:val="00C075AC"/>
    <w:rsid w:val="00C0772D"/>
    <w:rsid w:val="00C079CD"/>
    <w:rsid w:val="00C118EA"/>
    <w:rsid w:val="00C17A38"/>
    <w:rsid w:val="00C27090"/>
    <w:rsid w:val="00C300C6"/>
    <w:rsid w:val="00C31A04"/>
    <w:rsid w:val="00C31E08"/>
    <w:rsid w:val="00C327D0"/>
    <w:rsid w:val="00C37576"/>
    <w:rsid w:val="00C41CC5"/>
    <w:rsid w:val="00C4360A"/>
    <w:rsid w:val="00C4452E"/>
    <w:rsid w:val="00C50C72"/>
    <w:rsid w:val="00C5347D"/>
    <w:rsid w:val="00C5420E"/>
    <w:rsid w:val="00C54BED"/>
    <w:rsid w:val="00C57081"/>
    <w:rsid w:val="00C62805"/>
    <w:rsid w:val="00C62AB1"/>
    <w:rsid w:val="00C65054"/>
    <w:rsid w:val="00C650CA"/>
    <w:rsid w:val="00C67A3B"/>
    <w:rsid w:val="00C71A56"/>
    <w:rsid w:val="00C73C09"/>
    <w:rsid w:val="00C74B08"/>
    <w:rsid w:val="00C85C01"/>
    <w:rsid w:val="00C85C1E"/>
    <w:rsid w:val="00C93DC6"/>
    <w:rsid w:val="00C952F8"/>
    <w:rsid w:val="00C959FB"/>
    <w:rsid w:val="00C97D1D"/>
    <w:rsid w:val="00CA03F5"/>
    <w:rsid w:val="00CA2D45"/>
    <w:rsid w:val="00CA2F9E"/>
    <w:rsid w:val="00CA34A1"/>
    <w:rsid w:val="00CA6479"/>
    <w:rsid w:val="00CA75FE"/>
    <w:rsid w:val="00CA7B66"/>
    <w:rsid w:val="00CB2520"/>
    <w:rsid w:val="00CC476A"/>
    <w:rsid w:val="00CC790F"/>
    <w:rsid w:val="00CD0285"/>
    <w:rsid w:val="00CD0BE3"/>
    <w:rsid w:val="00CD0CDC"/>
    <w:rsid w:val="00CD27F7"/>
    <w:rsid w:val="00CD6D0F"/>
    <w:rsid w:val="00CD78AC"/>
    <w:rsid w:val="00CE6AC9"/>
    <w:rsid w:val="00CF0CE2"/>
    <w:rsid w:val="00CF2093"/>
    <w:rsid w:val="00CF283A"/>
    <w:rsid w:val="00CF2E71"/>
    <w:rsid w:val="00CF6E8E"/>
    <w:rsid w:val="00D17C6E"/>
    <w:rsid w:val="00D2022F"/>
    <w:rsid w:val="00D25113"/>
    <w:rsid w:val="00D25FCD"/>
    <w:rsid w:val="00D27C81"/>
    <w:rsid w:val="00D317E5"/>
    <w:rsid w:val="00D35E7E"/>
    <w:rsid w:val="00D370E8"/>
    <w:rsid w:val="00D37F19"/>
    <w:rsid w:val="00D41126"/>
    <w:rsid w:val="00D4248F"/>
    <w:rsid w:val="00D424F6"/>
    <w:rsid w:val="00D43520"/>
    <w:rsid w:val="00D43D99"/>
    <w:rsid w:val="00D54262"/>
    <w:rsid w:val="00D54E60"/>
    <w:rsid w:val="00D55124"/>
    <w:rsid w:val="00D5610D"/>
    <w:rsid w:val="00D60D82"/>
    <w:rsid w:val="00D613F9"/>
    <w:rsid w:val="00D65706"/>
    <w:rsid w:val="00D725F5"/>
    <w:rsid w:val="00D73BE9"/>
    <w:rsid w:val="00D73D61"/>
    <w:rsid w:val="00D745F1"/>
    <w:rsid w:val="00D77199"/>
    <w:rsid w:val="00D80119"/>
    <w:rsid w:val="00D81D6F"/>
    <w:rsid w:val="00D82425"/>
    <w:rsid w:val="00D860B2"/>
    <w:rsid w:val="00D90E92"/>
    <w:rsid w:val="00D97D1F"/>
    <w:rsid w:val="00DA3FDD"/>
    <w:rsid w:val="00DA6AE6"/>
    <w:rsid w:val="00DA7210"/>
    <w:rsid w:val="00DB4622"/>
    <w:rsid w:val="00DB49B7"/>
    <w:rsid w:val="00DB6007"/>
    <w:rsid w:val="00DC5C70"/>
    <w:rsid w:val="00DC780A"/>
    <w:rsid w:val="00DD0737"/>
    <w:rsid w:val="00DD60F3"/>
    <w:rsid w:val="00DD65A2"/>
    <w:rsid w:val="00DD736C"/>
    <w:rsid w:val="00DD79DB"/>
    <w:rsid w:val="00DE4CF7"/>
    <w:rsid w:val="00DE598F"/>
    <w:rsid w:val="00DF2F2A"/>
    <w:rsid w:val="00DF37ED"/>
    <w:rsid w:val="00E00796"/>
    <w:rsid w:val="00E04826"/>
    <w:rsid w:val="00E04FFB"/>
    <w:rsid w:val="00E06E10"/>
    <w:rsid w:val="00E136A4"/>
    <w:rsid w:val="00E1617F"/>
    <w:rsid w:val="00E163BB"/>
    <w:rsid w:val="00E16DDA"/>
    <w:rsid w:val="00E172EA"/>
    <w:rsid w:val="00E1745F"/>
    <w:rsid w:val="00E21A53"/>
    <w:rsid w:val="00E22ED8"/>
    <w:rsid w:val="00E268FB"/>
    <w:rsid w:val="00E26B00"/>
    <w:rsid w:val="00E317DD"/>
    <w:rsid w:val="00E357E4"/>
    <w:rsid w:val="00E40FB0"/>
    <w:rsid w:val="00E42A91"/>
    <w:rsid w:val="00E47EDD"/>
    <w:rsid w:val="00E53CC4"/>
    <w:rsid w:val="00E55F4B"/>
    <w:rsid w:val="00E577DC"/>
    <w:rsid w:val="00E6005F"/>
    <w:rsid w:val="00E60640"/>
    <w:rsid w:val="00E61FA7"/>
    <w:rsid w:val="00E6366D"/>
    <w:rsid w:val="00E63E9C"/>
    <w:rsid w:val="00E64C96"/>
    <w:rsid w:val="00E66661"/>
    <w:rsid w:val="00E755BF"/>
    <w:rsid w:val="00E75F54"/>
    <w:rsid w:val="00E770DF"/>
    <w:rsid w:val="00E77E51"/>
    <w:rsid w:val="00E8074D"/>
    <w:rsid w:val="00E8096C"/>
    <w:rsid w:val="00E81D45"/>
    <w:rsid w:val="00E95870"/>
    <w:rsid w:val="00E97111"/>
    <w:rsid w:val="00EA3A37"/>
    <w:rsid w:val="00EA474F"/>
    <w:rsid w:val="00EA68C2"/>
    <w:rsid w:val="00EB052B"/>
    <w:rsid w:val="00EB075D"/>
    <w:rsid w:val="00EB31CC"/>
    <w:rsid w:val="00EC05AB"/>
    <w:rsid w:val="00EC6E25"/>
    <w:rsid w:val="00EC74C5"/>
    <w:rsid w:val="00ED0BEA"/>
    <w:rsid w:val="00ED31E7"/>
    <w:rsid w:val="00ED5B36"/>
    <w:rsid w:val="00ED6BE2"/>
    <w:rsid w:val="00ED77FA"/>
    <w:rsid w:val="00EE0318"/>
    <w:rsid w:val="00EE124E"/>
    <w:rsid w:val="00EE56C6"/>
    <w:rsid w:val="00EE6062"/>
    <w:rsid w:val="00EF1872"/>
    <w:rsid w:val="00EF21E4"/>
    <w:rsid w:val="00EF5348"/>
    <w:rsid w:val="00EF69B2"/>
    <w:rsid w:val="00EF6FDA"/>
    <w:rsid w:val="00F02A5B"/>
    <w:rsid w:val="00F02F72"/>
    <w:rsid w:val="00F03284"/>
    <w:rsid w:val="00F07749"/>
    <w:rsid w:val="00F1153E"/>
    <w:rsid w:val="00F13627"/>
    <w:rsid w:val="00F25C5D"/>
    <w:rsid w:val="00F35809"/>
    <w:rsid w:val="00F41770"/>
    <w:rsid w:val="00F41D9C"/>
    <w:rsid w:val="00F4260C"/>
    <w:rsid w:val="00F47216"/>
    <w:rsid w:val="00F517C5"/>
    <w:rsid w:val="00F53275"/>
    <w:rsid w:val="00F539F5"/>
    <w:rsid w:val="00F54ECB"/>
    <w:rsid w:val="00F55C49"/>
    <w:rsid w:val="00F61ED4"/>
    <w:rsid w:val="00F646B6"/>
    <w:rsid w:val="00F6525A"/>
    <w:rsid w:val="00F654C9"/>
    <w:rsid w:val="00F7077D"/>
    <w:rsid w:val="00F7123C"/>
    <w:rsid w:val="00F72F07"/>
    <w:rsid w:val="00F83E4C"/>
    <w:rsid w:val="00F83FB6"/>
    <w:rsid w:val="00F92B87"/>
    <w:rsid w:val="00F962EE"/>
    <w:rsid w:val="00F9669C"/>
    <w:rsid w:val="00FA02A2"/>
    <w:rsid w:val="00FA04B2"/>
    <w:rsid w:val="00FB1A0F"/>
    <w:rsid w:val="00FB4056"/>
    <w:rsid w:val="00FB645D"/>
    <w:rsid w:val="00FC164F"/>
    <w:rsid w:val="00FC2AB9"/>
    <w:rsid w:val="00FC4CE4"/>
    <w:rsid w:val="00FC6B5C"/>
    <w:rsid w:val="00FD6264"/>
    <w:rsid w:val="00FE3BB5"/>
    <w:rsid w:val="00FE5053"/>
    <w:rsid w:val="00FF0E59"/>
    <w:rsid w:val="00FF182A"/>
    <w:rsid w:val="00FF2325"/>
    <w:rsid w:val="00FF75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rsid w:val="00322234"/>
    <w:pPr>
      <w:spacing w:before="120" w:line="288" w:lineRule="auto"/>
      <w:jc w:val="both"/>
    </w:pPr>
    <w:rPr>
      <w:rFonts w:ascii="Tahoma" w:hAnsi="Tahoma"/>
      <w:color w:val="000000" w:themeColor="text1"/>
      <w:szCs w:val="22"/>
      <w:lang w:eastAsia="cs-CZ"/>
    </w:rPr>
  </w:style>
  <w:style w:type="paragraph" w:styleId="Nadpis1">
    <w:name w:val="heading 1"/>
    <w:basedOn w:val="Normln"/>
    <w:next w:val="Normln"/>
    <w:rsid w:val="00DD65A2"/>
    <w:pPr>
      <w:keepNext/>
      <w:spacing w:before="240" w:after="120"/>
      <w:jc w:val="left"/>
      <w:outlineLvl w:val="0"/>
    </w:pPr>
    <w:rPr>
      <w:rFonts w:cs="Arial"/>
      <w:bCs/>
      <w:caps/>
      <w:kern w:val="32"/>
      <w:sz w:val="28"/>
      <w:szCs w:val="32"/>
    </w:rPr>
  </w:style>
  <w:style w:type="paragraph" w:styleId="Nadpis2">
    <w:name w:val="heading 2"/>
    <w:basedOn w:val="Normln"/>
    <w:next w:val="Normln"/>
    <w:link w:val="Nadpis2Char"/>
    <w:unhideWhenUsed/>
    <w:rsid w:val="00512AE4"/>
    <w:pPr>
      <w:keepNext/>
      <w:keepLines/>
      <w:spacing w:before="200"/>
      <w:outlineLvl w:val="1"/>
    </w:pPr>
    <w:rPr>
      <w:rFonts w:eastAsiaTheme="majorEastAsia" w:cstheme="majorBidi"/>
      <w:bCs/>
      <w:sz w:val="24"/>
      <w:szCs w:val="26"/>
    </w:rPr>
  </w:style>
  <w:style w:type="paragraph" w:styleId="Nadpis3">
    <w:name w:val="heading 3"/>
    <w:basedOn w:val="Normln"/>
    <w:next w:val="Normln"/>
    <w:rsid w:val="00322234"/>
    <w:pPr>
      <w:keepNext/>
      <w:spacing w:before="0"/>
      <w:jc w:val="left"/>
      <w:outlineLvl w:val="2"/>
    </w:pPr>
    <w:rPr>
      <w:rFonts w:cs="Arial"/>
      <w:bCs/>
      <w:color w:val="244061" w:themeColor="accent1" w:themeShade="80"/>
      <w:szCs w:val="26"/>
    </w:rPr>
  </w:style>
  <w:style w:type="paragraph" w:styleId="Nadpis4">
    <w:name w:val="heading 4"/>
    <w:basedOn w:val="Normln"/>
    <w:next w:val="Normln"/>
    <w:link w:val="Nadpis4Char"/>
    <w:unhideWhenUsed/>
    <w:rsid w:val="001B3DA2"/>
    <w:pPr>
      <w:keepNext/>
      <w:keepLines/>
      <w:spacing w:before="200"/>
      <w:outlineLvl w:val="3"/>
    </w:pPr>
    <w:rPr>
      <w:rFonts w:eastAsiaTheme="majorEastAsia" w:cstheme="majorBidi"/>
      <w:b/>
      <w:bCs/>
      <w:i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512AE4"/>
    <w:rPr>
      <w:rFonts w:ascii="Tahoma" w:eastAsiaTheme="majorEastAsia" w:hAnsi="Tahoma" w:cstheme="majorBidi"/>
      <w:bCs/>
      <w:sz w:val="24"/>
      <w:szCs w:val="26"/>
      <w:lang w:eastAsia="cs-CZ"/>
    </w:rPr>
  </w:style>
  <w:style w:type="character" w:customStyle="1" w:styleId="Nadpis4Char">
    <w:name w:val="Nadpis 4 Char"/>
    <w:basedOn w:val="Standardnpsmoodstavce"/>
    <w:link w:val="Nadpis4"/>
    <w:rsid w:val="001B3DA2"/>
    <w:rPr>
      <w:rFonts w:ascii="Calibri" w:eastAsiaTheme="majorEastAsia" w:hAnsi="Calibri" w:cstheme="majorBidi"/>
      <w:b/>
      <w:bCs/>
      <w:iCs/>
      <w:sz w:val="22"/>
      <w:szCs w:val="22"/>
      <w:lang w:eastAsia="cs-CZ"/>
    </w:rPr>
  </w:style>
  <w:style w:type="table" w:styleId="Svtlstnovnzvraznn2">
    <w:name w:val="Light Shading Accent 2"/>
    <w:basedOn w:val="Normlntabulka"/>
    <w:uiPriority w:val="60"/>
    <w:rsid w:val="00027DD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Zhlav">
    <w:name w:val="header"/>
    <w:basedOn w:val="Normln"/>
    <w:link w:val="ZhlavChar"/>
    <w:rsid w:val="001B3DA2"/>
    <w:pPr>
      <w:tabs>
        <w:tab w:val="center" w:pos="4536"/>
        <w:tab w:val="right" w:pos="9072"/>
      </w:tabs>
      <w:spacing w:before="0"/>
    </w:pPr>
  </w:style>
  <w:style w:type="character" w:customStyle="1" w:styleId="ZhlavChar">
    <w:name w:val="Záhlaví Char"/>
    <w:basedOn w:val="Standardnpsmoodstavce"/>
    <w:link w:val="Zhlav"/>
    <w:rsid w:val="001B3DA2"/>
    <w:rPr>
      <w:rFonts w:ascii="Calibri" w:hAnsi="Calibri"/>
      <w:sz w:val="22"/>
      <w:szCs w:val="22"/>
      <w:lang w:eastAsia="cs-CZ"/>
    </w:rPr>
  </w:style>
  <w:style w:type="paragraph" w:styleId="Zpat">
    <w:name w:val="footer"/>
    <w:basedOn w:val="Normln"/>
    <w:link w:val="ZpatChar"/>
    <w:uiPriority w:val="99"/>
    <w:rsid w:val="001B3DA2"/>
    <w:pPr>
      <w:tabs>
        <w:tab w:val="center" w:pos="4536"/>
        <w:tab w:val="right" w:pos="9072"/>
      </w:tabs>
      <w:spacing w:before="0"/>
    </w:pPr>
  </w:style>
  <w:style w:type="character" w:customStyle="1" w:styleId="ZpatChar">
    <w:name w:val="Zápatí Char"/>
    <w:basedOn w:val="Standardnpsmoodstavce"/>
    <w:link w:val="Zpat"/>
    <w:uiPriority w:val="99"/>
    <w:rsid w:val="001B3DA2"/>
    <w:rPr>
      <w:rFonts w:ascii="Calibri" w:hAnsi="Calibri"/>
      <w:sz w:val="22"/>
      <w:szCs w:val="22"/>
      <w:lang w:eastAsia="cs-CZ"/>
    </w:rPr>
  </w:style>
  <w:style w:type="table" w:styleId="Mkatabulky">
    <w:name w:val="Table Grid"/>
    <w:basedOn w:val="Normlntabulka"/>
    <w:uiPriority w:val="59"/>
    <w:rsid w:val="001B3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027DD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bsah3">
    <w:name w:val="toc 3"/>
    <w:basedOn w:val="Normln"/>
    <w:next w:val="Normln"/>
    <w:autoRedefine/>
    <w:rsid w:val="008D3E85"/>
    <w:pPr>
      <w:spacing w:before="0"/>
      <w:ind w:left="400"/>
      <w:jc w:val="left"/>
    </w:pPr>
    <w:rPr>
      <w:rFonts w:asciiTheme="minorHAnsi" w:hAnsiTheme="minorHAnsi"/>
      <w:szCs w:val="20"/>
    </w:rPr>
  </w:style>
  <w:style w:type="paragraph" w:styleId="Obsah4">
    <w:name w:val="toc 4"/>
    <w:basedOn w:val="Normln"/>
    <w:next w:val="Normln"/>
    <w:autoRedefine/>
    <w:rsid w:val="008D3E85"/>
    <w:pPr>
      <w:spacing w:before="0"/>
      <w:ind w:left="600"/>
      <w:jc w:val="left"/>
    </w:pPr>
    <w:rPr>
      <w:rFonts w:asciiTheme="minorHAnsi" w:hAnsiTheme="minorHAnsi"/>
      <w:szCs w:val="20"/>
    </w:rPr>
  </w:style>
  <w:style w:type="paragraph" w:styleId="Obsah5">
    <w:name w:val="toc 5"/>
    <w:basedOn w:val="Normln"/>
    <w:next w:val="Normln"/>
    <w:autoRedefine/>
    <w:rsid w:val="008D3E85"/>
    <w:pPr>
      <w:spacing w:before="0"/>
      <w:ind w:left="800"/>
      <w:jc w:val="left"/>
    </w:pPr>
    <w:rPr>
      <w:rFonts w:asciiTheme="minorHAnsi" w:hAnsiTheme="minorHAnsi"/>
      <w:szCs w:val="20"/>
    </w:rPr>
  </w:style>
  <w:style w:type="paragraph" w:styleId="Obsah6">
    <w:name w:val="toc 6"/>
    <w:basedOn w:val="Normln"/>
    <w:next w:val="Normln"/>
    <w:autoRedefine/>
    <w:rsid w:val="008D3E85"/>
    <w:pPr>
      <w:spacing w:before="0"/>
      <w:ind w:left="1000"/>
      <w:jc w:val="left"/>
    </w:pPr>
    <w:rPr>
      <w:rFonts w:asciiTheme="minorHAnsi" w:hAnsiTheme="minorHAnsi"/>
      <w:szCs w:val="20"/>
    </w:rPr>
  </w:style>
  <w:style w:type="paragraph" w:styleId="Obsah7">
    <w:name w:val="toc 7"/>
    <w:basedOn w:val="Normln"/>
    <w:next w:val="Normln"/>
    <w:autoRedefine/>
    <w:rsid w:val="008D3E85"/>
    <w:pPr>
      <w:spacing w:before="0"/>
      <w:ind w:left="1200"/>
      <w:jc w:val="left"/>
    </w:pPr>
    <w:rPr>
      <w:rFonts w:asciiTheme="minorHAnsi" w:hAnsiTheme="minorHAnsi"/>
      <w:szCs w:val="20"/>
    </w:rPr>
  </w:style>
  <w:style w:type="paragraph" w:styleId="Obsah8">
    <w:name w:val="toc 8"/>
    <w:basedOn w:val="Normln"/>
    <w:next w:val="Normln"/>
    <w:autoRedefine/>
    <w:rsid w:val="008D3E85"/>
    <w:pPr>
      <w:spacing w:before="0"/>
      <w:ind w:left="1400"/>
      <w:jc w:val="left"/>
    </w:pPr>
    <w:rPr>
      <w:rFonts w:asciiTheme="minorHAnsi" w:hAnsiTheme="minorHAnsi"/>
      <w:szCs w:val="20"/>
    </w:rPr>
  </w:style>
  <w:style w:type="paragraph" w:styleId="Obsah9">
    <w:name w:val="toc 9"/>
    <w:basedOn w:val="Normln"/>
    <w:next w:val="Normln"/>
    <w:autoRedefine/>
    <w:rsid w:val="008D3E85"/>
    <w:pPr>
      <w:spacing w:before="0"/>
      <w:ind w:left="1600"/>
      <w:jc w:val="left"/>
    </w:pPr>
    <w:rPr>
      <w:rFonts w:asciiTheme="minorHAnsi" w:hAnsiTheme="minorHAnsi"/>
      <w:szCs w:val="20"/>
    </w:rPr>
  </w:style>
  <w:style w:type="character" w:styleId="Hypertextovodkaz">
    <w:name w:val="Hyperlink"/>
    <w:basedOn w:val="Standardnpsmoodstavce"/>
    <w:uiPriority w:val="99"/>
    <w:rsid w:val="00ED0BEA"/>
    <w:rPr>
      <w:color w:val="0000FF" w:themeColor="hyperlink"/>
      <w:u w:val="single"/>
    </w:rPr>
  </w:style>
  <w:style w:type="paragraph" w:styleId="Obsah1">
    <w:name w:val="toc 1"/>
    <w:basedOn w:val="Normln"/>
    <w:next w:val="Normln"/>
    <w:autoRedefine/>
    <w:uiPriority w:val="39"/>
    <w:rsid w:val="007D266F"/>
    <w:pPr>
      <w:spacing w:before="240" w:after="120"/>
      <w:jc w:val="left"/>
    </w:pPr>
    <w:rPr>
      <w:rFonts w:asciiTheme="minorHAnsi" w:hAnsiTheme="minorHAnsi"/>
      <w:b/>
      <w:bCs/>
      <w:szCs w:val="20"/>
    </w:rPr>
  </w:style>
  <w:style w:type="paragraph" w:styleId="Obsah2">
    <w:name w:val="toc 2"/>
    <w:basedOn w:val="Normln"/>
    <w:next w:val="Normln"/>
    <w:autoRedefine/>
    <w:uiPriority w:val="39"/>
    <w:rsid w:val="00092381"/>
    <w:pPr>
      <w:ind w:left="200"/>
      <w:jc w:val="left"/>
    </w:pPr>
    <w:rPr>
      <w:rFonts w:asciiTheme="minorHAnsi" w:hAnsiTheme="minorHAnsi"/>
      <w:i/>
      <w:iCs/>
      <w:szCs w:val="20"/>
    </w:rPr>
  </w:style>
  <w:style w:type="paragraph" w:customStyle="1" w:styleId="Default">
    <w:name w:val="Default"/>
    <w:rsid w:val="00E06E10"/>
    <w:pPr>
      <w:autoSpaceDE w:val="0"/>
      <w:autoSpaceDN w:val="0"/>
      <w:adjustRightInd w:val="0"/>
    </w:pPr>
    <w:rPr>
      <w:rFonts w:ascii="Calibri" w:eastAsiaTheme="minorHAnsi" w:hAnsi="Calibri" w:cs="Calibri"/>
      <w:color w:val="000000"/>
      <w:sz w:val="24"/>
      <w:szCs w:val="24"/>
    </w:rPr>
  </w:style>
  <w:style w:type="paragraph" w:styleId="Textbubliny">
    <w:name w:val="Balloon Text"/>
    <w:basedOn w:val="Normln"/>
    <w:link w:val="TextbublinyChar"/>
    <w:uiPriority w:val="99"/>
    <w:rsid w:val="00322234"/>
    <w:pPr>
      <w:spacing w:before="0" w:line="240" w:lineRule="auto"/>
    </w:pPr>
    <w:rPr>
      <w:rFonts w:cs="Tahoma"/>
      <w:sz w:val="16"/>
      <w:szCs w:val="16"/>
    </w:rPr>
  </w:style>
  <w:style w:type="character" w:customStyle="1" w:styleId="TextbublinyChar">
    <w:name w:val="Text bubliny Char"/>
    <w:basedOn w:val="Standardnpsmoodstavce"/>
    <w:link w:val="Textbubliny"/>
    <w:uiPriority w:val="99"/>
    <w:rsid w:val="00322234"/>
    <w:rPr>
      <w:rFonts w:ascii="Tahoma"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rsid w:val="00322234"/>
    <w:pPr>
      <w:spacing w:before="120" w:line="288" w:lineRule="auto"/>
      <w:jc w:val="both"/>
    </w:pPr>
    <w:rPr>
      <w:rFonts w:ascii="Tahoma" w:hAnsi="Tahoma"/>
      <w:color w:val="000000" w:themeColor="text1"/>
      <w:szCs w:val="22"/>
      <w:lang w:eastAsia="cs-CZ"/>
    </w:rPr>
  </w:style>
  <w:style w:type="paragraph" w:styleId="Nadpis1">
    <w:name w:val="heading 1"/>
    <w:basedOn w:val="Normln"/>
    <w:next w:val="Normln"/>
    <w:rsid w:val="00DD65A2"/>
    <w:pPr>
      <w:keepNext/>
      <w:spacing w:before="240" w:after="120"/>
      <w:jc w:val="left"/>
      <w:outlineLvl w:val="0"/>
    </w:pPr>
    <w:rPr>
      <w:rFonts w:cs="Arial"/>
      <w:bCs/>
      <w:caps/>
      <w:kern w:val="32"/>
      <w:sz w:val="28"/>
      <w:szCs w:val="32"/>
    </w:rPr>
  </w:style>
  <w:style w:type="paragraph" w:styleId="Nadpis2">
    <w:name w:val="heading 2"/>
    <w:basedOn w:val="Normln"/>
    <w:next w:val="Normln"/>
    <w:link w:val="Nadpis2Char"/>
    <w:unhideWhenUsed/>
    <w:rsid w:val="00512AE4"/>
    <w:pPr>
      <w:keepNext/>
      <w:keepLines/>
      <w:spacing w:before="200"/>
      <w:outlineLvl w:val="1"/>
    </w:pPr>
    <w:rPr>
      <w:rFonts w:eastAsiaTheme="majorEastAsia" w:cstheme="majorBidi"/>
      <w:bCs/>
      <w:sz w:val="24"/>
      <w:szCs w:val="26"/>
    </w:rPr>
  </w:style>
  <w:style w:type="paragraph" w:styleId="Nadpis3">
    <w:name w:val="heading 3"/>
    <w:basedOn w:val="Normln"/>
    <w:next w:val="Normln"/>
    <w:rsid w:val="00322234"/>
    <w:pPr>
      <w:keepNext/>
      <w:spacing w:before="0"/>
      <w:jc w:val="left"/>
      <w:outlineLvl w:val="2"/>
    </w:pPr>
    <w:rPr>
      <w:rFonts w:cs="Arial"/>
      <w:bCs/>
      <w:color w:val="244061" w:themeColor="accent1" w:themeShade="80"/>
      <w:szCs w:val="26"/>
    </w:rPr>
  </w:style>
  <w:style w:type="paragraph" w:styleId="Nadpis4">
    <w:name w:val="heading 4"/>
    <w:basedOn w:val="Normln"/>
    <w:next w:val="Normln"/>
    <w:link w:val="Nadpis4Char"/>
    <w:unhideWhenUsed/>
    <w:rsid w:val="001B3DA2"/>
    <w:pPr>
      <w:keepNext/>
      <w:keepLines/>
      <w:spacing w:before="200"/>
      <w:outlineLvl w:val="3"/>
    </w:pPr>
    <w:rPr>
      <w:rFonts w:eastAsiaTheme="majorEastAsia" w:cstheme="majorBidi"/>
      <w:b/>
      <w:bCs/>
      <w:i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512AE4"/>
    <w:rPr>
      <w:rFonts w:ascii="Tahoma" w:eastAsiaTheme="majorEastAsia" w:hAnsi="Tahoma" w:cstheme="majorBidi"/>
      <w:bCs/>
      <w:sz w:val="24"/>
      <w:szCs w:val="26"/>
      <w:lang w:eastAsia="cs-CZ"/>
    </w:rPr>
  </w:style>
  <w:style w:type="character" w:customStyle="1" w:styleId="Nadpis4Char">
    <w:name w:val="Nadpis 4 Char"/>
    <w:basedOn w:val="Standardnpsmoodstavce"/>
    <w:link w:val="Nadpis4"/>
    <w:rsid w:val="001B3DA2"/>
    <w:rPr>
      <w:rFonts w:ascii="Calibri" w:eastAsiaTheme="majorEastAsia" w:hAnsi="Calibri" w:cstheme="majorBidi"/>
      <w:b/>
      <w:bCs/>
      <w:iCs/>
      <w:sz w:val="22"/>
      <w:szCs w:val="22"/>
      <w:lang w:eastAsia="cs-CZ"/>
    </w:rPr>
  </w:style>
  <w:style w:type="table" w:styleId="Svtlstnovnzvraznn2">
    <w:name w:val="Light Shading Accent 2"/>
    <w:basedOn w:val="Normlntabulka"/>
    <w:uiPriority w:val="60"/>
    <w:rsid w:val="00027DD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Zhlav">
    <w:name w:val="header"/>
    <w:basedOn w:val="Normln"/>
    <w:link w:val="ZhlavChar"/>
    <w:rsid w:val="001B3DA2"/>
    <w:pPr>
      <w:tabs>
        <w:tab w:val="center" w:pos="4536"/>
        <w:tab w:val="right" w:pos="9072"/>
      </w:tabs>
      <w:spacing w:before="0"/>
    </w:pPr>
  </w:style>
  <w:style w:type="character" w:customStyle="1" w:styleId="ZhlavChar">
    <w:name w:val="Záhlaví Char"/>
    <w:basedOn w:val="Standardnpsmoodstavce"/>
    <w:link w:val="Zhlav"/>
    <w:rsid w:val="001B3DA2"/>
    <w:rPr>
      <w:rFonts w:ascii="Calibri" w:hAnsi="Calibri"/>
      <w:sz w:val="22"/>
      <w:szCs w:val="22"/>
      <w:lang w:eastAsia="cs-CZ"/>
    </w:rPr>
  </w:style>
  <w:style w:type="paragraph" w:styleId="Zpat">
    <w:name w:val="footer"/>
    <w:basedOn w:val="Normln"/>
    <w:link w:val="ZpatChar"/>
    <w:uiPriority w:val="99"/>
    <w:rsid w:val="001B3DA2"/>
    <w:pPr>
      <w:tabs>
        <w:tab w:val="center" w:pos="4536"/>
        <w:tab w:val="right" w:pos="9072"/>
      </w:tabs>
      <w:spacing w:before="0"/>
    </w:pPr>
  </w:style>
  <w:style w:type="character" w:customStyle="1" w:styleId="ZpatChar">
    <w:name w:val="Zápatí Char"/>
    <w:basedOn w:val="Standardnpsmoodstavce"/>
    <w:link w:val="Zpat"/>
    <w:uiPriority w:val="99"/>
    <w:rsid w:val="001B3DA2"/>
    <w:rPr>
      <w:rFonts w:ascii="Calibri" w:hAnsi="Calibri"/>
      <w:sz w:val="22"/>
      <w:szCs w:val="22"/>
      <w:lang w:eastAsia="cs-CZ"/>
    </w:rPr>
  </w:style>
  <w:style w:type="table" w:styleId="Mkatabulky">
    <w:name w:val="Table Grid"/>
    <w:basedOn w:val="Normlntabulka"/>
    <w:uiPriority w:val="59"/>
    <w:rsid w:val="001B3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027DD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bsah3">
    <w:name w:val="toc 3"/>
    <w:basedOn w:val="Normln"/>
    <w:next w:val="Normln"/>
    <w:autoRedefine/>
    <w:rsid w:val="008D3E85"/>
    <w:pPr>
      <w:spacing w:before="0"/>
      <w:ind w:left="400"/>
      <w:jc w:val="left"/>
    </w:pPr>
    <w:rPr>
      <w:rFonts w:asciiTheme="minorHAnsi" w:hAnsiTheme="minorHAnsi"/>
      <w:szCs w:val="20"/>
    </w:rPr>
  </w:style>
  <w:style w:type="paragraph" w:styleId="Obsah4">
    <w:name w:val="toc 4"/>
    <w:basedOn w:val="Normln"/>
    <w:next w:val="Normln"/>
    <w:autoRedefine/>
    <w:rsid w:val="008D3E85"/>
    <w:pPr>
      <w:spacing w:before="0"/>
      <w:ind w:left="600"/>
      <w:jc w:val="left"/>
    </w:pPr>
    <w:rPr>
      <w:rFonts w:asciiTheme="minorHAnsi" w:hAnsiTheme="minorHAnsi"/>
      <w:szCs w:val="20"/>
    </w:rPr>
  </w:style>
  <w:style w:type="paragraph" w:styleId="Obsah5">
    <w:name w:val="toc 5"/>
    <w:basedOn w:val="Normln"/>
    <w:next w:val="Normln"/>
    <w:autoRedefine/>
    <w:rsid w:val="008D3E85"/>
    <w:pPr>
      <w:spacing w:before="0"/>
      <w:ind w:left="800"/>
      <w:jc w:val="left"/>
    </w:pPr>
    <w:rPr>
      <w:rFonts w:asciiTheme="minorHAnsi" w:hAnsiTheme="minorHAnsi"/>
      <w:szCs w:val="20"/>
    </w:rPr>
  </w:style>
  <w:style w:type="paragraph" w:styleId="Obsah6">
    <w:name w:val="toc 6"/>
    <w:basedOn w:val="Normln"/>
    <w:next w:val="Normln"/>
    <w:autoRedefine/>
    <w:rsid w:val="008D3E85"/>
    <w:pPr>
      <w:spacing w:before="0"/>
      <w:ind w:left="1000"/>
      <w:jc w:val="left"/>
    </w:pPr>
    <w:rPr>
      <w:rFonts w:asciiTheme="minorHAnsi" w:hAnsiTheme="minorHAnsi"/>
      <w:szCs w:val="20"/>
    </w:rPr>
  </w:style>
  <w:style w:type="paragraph" w:styleId="Obsah7">
    <w:name w:val="toc 7"/>
    <w:basedOn w:val="Normln"/>
    <w:next w:val="Normln"/>
    <w:autoRedefine/>
    <w:rsid w:val="008D3E85"/>
    <w:pPr>
      <w:spacing w:before="0"/>
      <w:ind w:left="1200"/>
      <w:jc w:val="left"/>
    </w:pPr>
    <w:rPr>
      <w:rFonts w:asciiTheme="minorHAnsi" w:hAnsiTheme="minorHAnsi"/>
      <w:szCs w:val="20"/>
    </w:rPr>
  </w:style>
  <w:style w:type="paragraph" w:styleId="Obsah8">
    <w:name w:val="toc 8"/>
    <w:basedOn w:val="Normln"/>
    <w:next w:val="Normln"/>
    <w:autoRedefine/>
    <w:rsid w:val="008D3E85"/>
    <w:pPr>
      <w:spacing w:before="0"/>
      <w:ind w:left="1400"/>
      <w:jc w:val="left"/>
    </w:pPr>
    <w:rPr>
      <w:rFonts w:asciiTheme="minorHAnsi" w:hAnsiTheme="minorHAnsi"/>
      <w:szCs w:val="20"/>
    </w:rPr>
  </w:style>
  <w:style w:type="paragraph" w:styleId="Obsah9">
    <w:name w:val="toc 9"/>
    <w:basedOn w:val="Normln"/>
    <w:next w:val="Normln"/>
    <w:autoRedefine/>
    <w:rsid w:val="008D3E85"/>
    <w:pPr>
      <w:spacing w:before="0"/>
      <w:ind w:left="1600"/>
      <w:jc w:val="left"/>
    </w:pPr>
    <w:rPr>
      <w:rFonts w:asciiTheme="minorHAnsi" w:hAnsiTheme="minorHAnsi"/>
      <w:szCs w:val="20"/>
    </w:rPr>
  </w:style>
  <w:style w:type="character" w:styleId="Hypertextovodkaz">
    <w:name w:val="Hyperlink"/>
    <w:basedOn w:val="Standardnpsmoodstavce"/>
    <w:uiPriority w:val="99"/>
    <w:rsid w:val="00ED0BEA"/>
    <w:rPr>
      <w:color w:val="0000FF" w:themeColor="hyperlink"/>
      <w:u w:val="single"/>
    </w:rPr>
  </w:style>
  <w:style w:type="paragraph" w:styleId="Obsah1">
    <w:name w:val="toc 1"/>
    <w:basedOn w:val="Normln"/>
    <w:next w:val="Normln"/>
    <w:autoRedefine/>
    <w:uiPriority w:val="39"/>
    <w:rsid w:val="007D266F"/>
    <w:pPr>
      <w:spacing w:before="240" w:after="120"/>
      <w:jc w:val="left"/>
    </w:pPr>
    <w:rPr>
      <w:rFonts w:asciiTheme="minorHAnsi" w:hAnsiTheme="minorHAnsi"/>
      <w:b/>
      <w:bCs/>
      <w:szCs w:val="20"/>
    </w:rPr>
  </w:style>
  <w:style w:type="paragraph" w:styleId="Obsah2">
    <w:name w:val="toc 2"/>
    <w:basedOn w:val="Normln"/>
    <w:next w:val="Normln"/>
    <w:autoRedefine/>
    <w:uiPriority w:val="39"/>
    <w:rsid w:val="00092381"/>
    <w:pPr>
      <w:ind w:left="200"/>
      <w:jc w:val="left"/>
    </w:pPr>
    <w:rPr>
      <w:rFonts w:asciiTheme="minorHAnsi" w:hAnsiTheme="minorHAnsi"/>
      <w:i/>
      <w:iCs/>
      <w:szCs w:val="20"/>
    </w:rPr>
  </w:style>
  <w:style w:type="paragraph" w:customStyle="1" w:styleId="Default">
    <w:name w:val="Default"/>
    <w:rsid w:val="00E06E10"/>
    <w:pPr>
      <w:autoSpaceDE w:val="0"/>
      <w:autoSpaceDN w:val="0"/>
      <w:adjustRightInd w:val="0"/>
    </w:pPr>
    <w:rPr>
      <w:rFonts w:ascii="Calibri" w:eastAsiaTheme="minorHAnsi" w:hAnsi="Calibri" w:cs="Calibri"/>
      <w:color w:val="000000"/>
      <w:sz w:val="24"/>
      <w:szCs w:val="24"/>
    </w:rPr>
  </w:style>
  <w:style w:type="paragraph" w:styleId="Textbubliny">
    <w:name w:val="Balloon Text"/>
    <w:basedOn w:val="Normln"/>
    <w:link w:val="TextbublinyChar"/>
    <w:uiPriority w:val="99"/>
    <w:rsid w:val="00322234"/>
    <w:pPr>
      <w:spacing w:before="0" w:line="240" w:lineRule="auto"/>
    </w:pPr>
    <w:rPr>
      <w:rFonts w:cs="Tahoma"/>
      <w:sz w:val="16"/>
      <w:szCs w:val="16"/>
    </w:rPr>
  </w:style>
  <w:style w:type="character" w:customStyle="1" w:styleId="TextbublinyChar">
    <w:name w:val="Text bubliny Char"/>
    <w:basedOn w:val="Standardnpsmoodstavce"/>
    <w:link w:val="Textbubliny"/>
    <w:uiPriority w:val="99"/>
    <w:rsid w:val="00322234"/>
    <w:rPr>
      <w:rFonts w:ascii="Tahoma"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921">
      <w:bodyDiv w:val="1"/>
      <w:marLeft w:val="0"/>
      <w:marRight w:val="0"/>
      <w:marTop w:val="0"/>
      <w:marBottom w:val="0"/>
      <w:divBdr>
        <w:top w:val="none" w:sz="0" w:space="0" w:color="auto"/>
        <w:left w:val="none" w:sz="0" w:space="0" w:color="auto"/>
        <w:bottom w:val="none" w:sz="0" w:space="0" w:color="auto"/>
        <w:right w:val="none" w:sz="0" w:space="0" w:color="auto"/>
      </w:divBdr>
      <w:divsChild>
        <w:div w:id="691221223">
          <w:marLeft w:val="576"/>
          <w:marRight w:val="0"/>
          <w:marTop w:val="120"/>
          <w:marBottom w:val="0"/>
          <w:divBdr>
            <w:top w:val="none" w:sz="0" w:space="0" w:color="auto"/>
            <w:left w:val="none" w:sz="0" w:space="0" w:color="auto"/>
            <w:bottom w:val="none" w:sz="0" w:space="0" w:color="auto"/>
            <w:right w:val="none" w:sz="0" w:space="0" w:color="auto"/>
          </w:divBdr>
        </w:div>
        <w:div w:id="1991131568">
          <w:marLeft w:val="576"/>
          <w:marRight w:val="0"/>
          <w:marTop w:val="120"/>
          <w:marBottom w:val="0"/>
          <w:divBdr>
            <w:top w:val="none" w:sz="0" w:space="0" w:color="auto"/>
            <w:left w:val="none" w:sz="0" w:space="0" w:color="auto"/>
            <w:bottom w:val="none" w:sz="0" w:space="0" w:color="auto"/>
            <w:right w:val="none" w:sz="0" w:space="0" w:color="auto"/>
          </w:divBdr>
        </w:div>
        <w:div w:id="1959876800">
          <w:marLeft w:val="576"/>
          <w:marRight w:val="0"/>
          <w:marTop w:val="120"/>
          <w:marBottom w:val="0"/>
          <w:divBdr>
            <w:top w:val="none" w:sz="0" w:space="0" w:color="auto"/>
            <w:left w:val="none" w:sz="0" w:space="0" w:color="auto"/>
            <w:bottom w:val="none" w:sz="0" w:space="0" w:color="auto"/>
            <w:right w:val="none" w:sz="0" w:space="0" w:color="auto"/>
          </w:divBdr>
        </w:div>
        <w:div w:id="178587278">
          <w:marLeft w:val="576"/>
          <w:marRight w:val="0"/>
          <w:marTop w:val="120"/>
          <w:marBottom w:val="0"/>
          <w:divBdr>
            <w:top w:val="none" w:sz="0" w:space="0" w:color="auto"/>
            <w:left w:val="none" w:sz="0" w:space="0" w:color="auto"/>
            <w:bottom w:val="none" w:sz="0" w:space="0" w:color="auto"/>
            <w:right w:val="none" w:sz="0" w:space="0" w:color="auto"/>
          </w:divBdr>
        </w:div>
        <w:div w:id="1192378309">
          <w:marLeft w:val="576"/>
          <w:marRight w:val="0"/>
          <w:marTop w:val="120"/>
          <w:marBottom w:val="0"/>
          <w:divBdr>
            <w:top w:val="none" w:sz="0" w:space="0" w:color="auto"/>
            <w:left w:val="none" w:sz="0" w:space="0" w:color="auto"/>
            <w:bottom w:val="none" w:sz="0" w:space="0" w:color="auto"/>
            <w:right w:val="none" w:sz="0" w:space="0" w:color="auto"/>
          </w:divBdr>
        </w:div>
      </w:divsChild>
    </w:div>
    <w:div w:id="55512718">
      <w:bodyDiv w:val="1"/>
      <w:marLeft w:val="0"/>
      <w:marRight w:val="0"/>
      <w:marTop w:val="0"/>
      <w:marBottom w:val="0"/>
      <w:divBdr>
        <w:top w:val="none" w:sz="0" w:space="0" w:color="auto"/>
        <w:left w:val="none" w:sz="0" w:space="0" w:color="auto"/>
        <w:bottom w:val="none" w:sz="0" w:space="0" w:color="auto"/>
        <w:right w:val="none" w:sz="0" w:space="0" w:color="auto"/>
      </w:divBdr>
      <w:divsChild>
        <w:div w:id="976691663">
          <w:marLeft w:val="576"/>
          <w:marRight w:val="0"/>
          <w:marTop w:val="120"/>
          <w:marBottom w:val="0"/>
          <w:divBdr>
            <w:top w:val="none" w:sz="0" w:space="0" w:color="auto"/>
            <w:left w:val="none" w:sz="0" w:space="0" w:color="auto"/>
            <w:bottom w:val="none" w:sz="0" w:space="0" w:color="auto"/>
            <w:right w:val="none" w:sz="0" w:space="0" w:color="auto"/>
          </w:divBdr>
        </w:div>
        <w:div w:id="1201941301">
          <w:marLeft w:val="576"/>
          <w:marRight w:val="0"/>
          <w:marTop w:val="120"/>
          <w:marBottom w:val="0"/>
          <w:divBdr>
            <w:top w:val="none" w:sz="0" w:space="0" w:color="auto"/>
            <w:left w:val="none" w:sz="0" w:space="0" w:color="auto"/>
            <w:bottom w:val="none" w:sz="0" w:space="0" w:color="auto"/>
            <w:right w:val="none" w:sz="0" w:space="0" w:color="auto"/>
          </w:divBdr>
        </w:div>
        <w:div w:id="2007397551">
          <w:marLeft w:val="576"/>
          <w:marRight w:val="0"/>
          <w:marTop w:val="120"/>
          <w:marBottom w:val="0"/>
          <w:divBdr>
            <w:top w:val="none" w:sz="0" w:space="0" w:color="auto"/>
            <w:left w:val="none" w:sz="0" w:space="0" w:color="auto"/>
            <w:bottom w:val="none" w:sz="0" w:space="0" w:color="auto"/>
            <w:right w:val="none" w:sz="0" w:space="0" w:color="auto"/>
          </w:divBdr>
        </w:div>
      </w:divsChild>
    </w:div>
    <w:div w:id="234974999">
      <w:bodyDiv w:val="1"/>
      <w:marLeft w:val="0"/>
      <w:marRight w:val="0"/>
      <w:marTop w:val="0"/>
      <w:marBottom w:val="0"/>
      <w:divBdr>
        <w:top w:val="none" w:sz="0" w:space="0" w:color="auto"/>
        <w:left w:val="none" w:sz="0" w:space="0" w:color="auto"/>
        <w:bottom w:val="none" w:sz="0" w:space="0" w:color="auto"/>
        <w:right w:val="none" w:sz="0" w:space="0" w:color="auto"/>
      </w:divBdr>
      <w:divsChild>
        <w:div w:id="294989278">
          <w:marLeft w:val="850"/>
          <w:marRight w:val="0"/>
          <w:marTop w:val="120"/>
          <w:marBottom w:val="0"/>
          <w:divBdr>
            <w:top w:val="none" w:sz="0" w:space="0" w:color="auto"/>
            <w:left w:val="none" w:sz="0" w:space="0" w:color="auto"/>
            <w:bottom w:val="none" w:sz="0" w:space="0" w:color="auto"/>
            <w:right w:val="none" w:sz="0" w:space="0" w:color="auto"/>
          </w:divBdr>
        </w:div>
        <w:div w:id="1206260274">
          <w:marLeft w:val="850"/>
          <w:marRight w:val="0"/>
          <w:marTop w:val="120"/>
          <w:marBottom w:val="0"/>
          <w:divBdr>
            <w:top w:val="none" w:sz="0" w:space="0" w:color="auto"/>
            <w:left w:val="none" w:sz="0" w:space="0" w:color="auto"/>
            <w:bottom w:val="none" w:sz="0" w:space="0" w:color="auto"/>
            <w:right w:val="none" w:sz="0" w:space="0" w:color="auto"/>
          </w:divBdr>
        </w:div>
      </w:divsChild>
    </w:div>
    <w:div w:id="272178173">
      <w:bodyDiv w:val="1"/>
      <w:marLeft w:val="0"/>
      <w:marRight w:val="0"/>
      <w:marTop w:val="0"/>
      <w:marBottom w:val="0"/>
      <w:divBdr>
        <w:top w:val="none" w:sz="0" w:space="0" w:color="auto"/>
        <w:left w:val="none" w:sz="0" w:space="0" w:color="auto"/>
        <w:bottom w:val="none" w:sz="0" w:space="0" w:color="auto"/>
        <w:right w:val="none" w:sz="0" w:space="0" w:color="auto"/>
      </w:divBdr>
    </w:div>
    <w:div w:id="289359590">
      <w:bodyDiv w:val="1"/>
      <w:marLeft w:val="0"/>
      <w:marRight w:val="0"/>
      <w:marTop w:val="0"/>
      <w:marBottom w:val="0"/>
      <w:divBdr>
        <w:top w:val="none" w:sz="0" w:space="0" w:color="auto"/>
        <w:left w:val="none" w:sz="0" w:space="0" w:color="auto"/>
        <w:bottom w:val="none" w:sz="0" w:space="0" w:color="auto"/>
        <w:right w:val="none" w:sz="0" w:space="0" w:color="auto"/>
      </w:divBdr>
    </w:div>
    <w:div w:id="379524290">
      <w:bodyDiv w:val="1"/>
      <w:marLeft w:val="0"/>
      <w:marRight w:val="0"/>
      <w:marTop w:val="0"/>
      <w:marBottom w:val="0"/>
      <w:divBdr>
        <w:top w:val="none" w:sz="0" w:space="0" w:color="auto"/>
        <w:left w:val="none" w:sz="0" w:space="0" w:color="auto"/>
        <w:bottom w:val="none" w:sz="0" w:space="0" w:color="auto"/>
        <w:right w:val="none" w:sz="0" w:space="0" w:color="auto"/>
      </w:divBdr>
      <w:divsChild>
        <w:div w:id="103380163">
          <w:marLeft w:val="576"/>
          <w:marRight w:val="0"/>
          <w:marTop w:val="120"/>
          <w:marBottom w:val="0"/>
          <w:divBdr>
            <w:top w:val="none" w:sz="0" w:space="0" w:color="auto"/>
            <w:left w:val="none" w:sz="0" w:space="0" w:color="auto"/>
            <w:bottom w:val="none" w:sz="0" w:space="0" w:color="auto"/>
            <w:right w:val="none" w:sz="0" w:space="0" w:color="auto"/>
          </w:divBdr>
        </w:div>
        <w:div w:id="1163594220">
          <w:marLeft w:val="576"/>
          <w:marRight w:val="0"/>
          <w:marTop w:val="120"/>
          <w:marBottom w:val="0"/>
          <w:divBdr>
            <w:top w:val="none" w:sz="0" w:space="0" w:color="auto"/>
            <w:left w:val="none" w:sz="0" w:space="0" w:color="auto"/>
            <w:bottom w:val="none" w:sz="0" w:space="0" w:color="auto"/>
            <w:right w:val="none" w:sz="0" w:space="0" w:color="auto"/>
          </w:divBdr>
        </w:div>
        <w:div w:id="823088814">
          <w:marLeft w:val="576"/>
          <w:marRight w:val="0"/>
          <w:marTop w:val="120"/>
          <w:marBottom w:val="0"/>
          <w:divBdr>
            <w:top w:val="none" w:sz="0" w:space="0" w:color="auto"/>
            <w:left w:val="none" w:sz="0" w:space="0" w:color="auto"/>
            <w:bottom w:val="none" w:sz="0" w:space="0" w:color="auto"/>
            <w:right w:val="none" w:sz="0" w:space="0" w:color="auto"/>
          </w:divBdr>
        </w:div>
        <w:div w:id="1007440082">
          <w:marLeft w:val="576"/>
          <w:marRight w:val="0"/>
          <w:marTop w:val="120"/>
          <w:marBottom w:val="0"/>
          <w:divBdr>
            <w:top w:val="none" w:sz="0" w:space="0" w:color="auto"/>
            <w:left w:val="none" w:sz="0" w:space="0" w:color="auto"/>
            <w:bottom w:val="none" w:sz="0" w:space="0" w:color="auto"/>
            <w:right w:val="none" w:sz="0" w:space="0" w:color="auto"/>
          </w:divBdr>
        </w:div>
      </w:divsChild>
    </w:div>
    <w:div w:id="514268062">
      <w:bodyDiv w:val="1"/>
      <w:marLeft w:val="0"/>
      <w:marRight w:val="0"/>
      <w:marTop w:val="0"/>
      <w:marBottom w:val="0"/>
      <w:divBdr>
        <w:top w:val="none" w:sz="0" w:space="0" w:color="auto"/>
        <w:left w:val="none" w:sz="0" w:space="0" w:color="auto"/>
        <w:bottom w:val="none" w:sz="0" w:space="0" w:color="auto"/>
        <w:right w:val="none" w:sz="0" w:space="0" w:color="auto"/>
      </w:divBdr>
      <w:divsChild>
        <w:div w:id="1450978221">
          <w:marLeft w:val="547"/>
          <w:marRight w:val="0"/>
          <w:marTop w:val="360"/>
          <w:marBottom w:val="0"/>
          <w:divBdr>
            <w:top w:val="none" w:sz="0" w:space="0" w:color="auto"/>
            <w:left w:val="none" w:sz="0" w:space="0" w:color="auto"/>
            <w:bottom w:val="none" w:sz="0" w:space="0" w:color="auto"/>
            <w:right w:val="none" w:sz="0" w:space="0" w:color="auto"/>
          </w:divBdr>
        </w:div>
      </w:divsChild>
    </w:div>
    <w:div w:id="896553569">
      <w:bodyDiv w:val="1"/>
      <w:marLeft w:val="0"/>
      <w:marRight w:val="0"/>
      <w:marTop w:val="0"/>
      <w:marBottom w:val="0"/>
      <w:divBdr>
        <w:top w:val="none" w:sz="0" w:space="0" w:color="auto"/>
        <w:left w:val="none" w:sz="0" w:space="0" w:color="auto"/>
        <w:bottom w:val="none" w:sz="0" w:space="0" w:color="auto"/>
        <w:right w:val="none" w:sz="0" w:space="0" w:color="auto"/>
      </w:divBdr>
    </w:div>
    <w:div w:id="956983903">
      <w:bodyDiv w:val="1"/>
      <w:marLeft w:val="0"/>
      <w:marRight w:val="0"/>
      <w:marTop w:val="0"/>
      <w:marBottom w:val="0"/>
      <w:divBdr>
        <w:top w:val="none" w:sz="0" w:space="0" w:color="auto"/>
        <w:left w:val="none" w:sz="0" w:space="0" w:color="auto"/>
        <w:bottom w:val="none" w:sz="0" w:space="0" w:color="auto"/>
        <w:right w:val="none" w:sz="0" w:space="0" w:color="auto"/>
      </w:divBdr>
      <w:divsChild>
        <w:div w:id="2071267568">
          <w:marLeft w:val="547"/>
          <w:marRight w:val="0"/>
          <w:marTop w:val="120"/>
          <w:marBottom w:val="0"/>
          <w:divBdr>
            <w:top w:val="none" w:sz="0" w:space="0" w:color="auto"/>
            <w:left w:val="none" w:sz="0" w:space="0" w:color="auto"/>
            <w:bottom w:val="none" w:sz="0" w:space="0" w:color="auto"/>
            <w:right w:val="none" w:sz="0" w:space="0" w:color="auto"/>
          </w:divBdr>
        </w:div>
        <w:div w:id="24448382">
          <w:marLeft w:val="850"/>
          <w:marRight w:val="0"/>
          <w:marTop w:val="120"/>
          <w:marBottom w:val="0"/>
          <w:divBdr>
            <w:top w:val="none" w:sz="0" w:space="0" w:color="auto"/>
            <w:left w:val="none" w:sz="0" w:space="0" w:color="auto"/>
            <w:bottom w:val="none" w:sz="0" w:space="0" w:color="auto"/>
            <w:right w:val="none" w:sz="0" w:space="0" w:color="auto"/>
          </w:divBdr>
        </w:div>
        <w:div w:id="1087766689">
          <w:marLeft w:val="850"/>
          <w:marRight w:val="0"/>
          <w:marTop w:val="120"/>
          <w:marBottom w:val="0"/>
          <w:divBdr>
            <w:top w:val="none" w:sz="0" w:space="0" w:color="auto"/>
            <w:left w:val="none" w:sz="0" w:space="0" w:color="auto"/>
            <w:bottom w:val="none" w:sz="0" w:space="0" w:color="auto"/>
            <w:right w:val="none" w:sz="0" w:space="0" w:color="auto"/>
          </w:divBdr>
        </w:div>
        <w:div w:id="417412708">
          <w:marLeft w:val="850"/>
          <w:marRight w:val="0"/>
          <w:marTop w:val="120"/>
          <w:marBottom w:val="0"/>
          <w:divBdr>
            <w:top w:val="none" w:sz="0" w:space="0" w:color="auto"/>
            <w:left w:val="none" w:sz="0" w:space="0" w:color="auto"/>
            <w:bottom w:val="none" w:sz="0" w:space="0" w:color="auto"/>
            <w:right w:val="none" w:sz="0" w:space="0" w:color="auto"/>
          </w:divBdr>
        </w:div>
        <w:div w:id="1465193439">
          <w:marLeft w:val="850"/>
          <w:marRight w:val="0"/>
          <w:marTop w:val="120"/>
          <w:marBottom w:val="0"/>
          <w:divBdr>
            <w:top w:val="none" w:sz="0" w:space="0" w:color="auto"/>
            <w:left w:val="none" w:sz="0" w:space="0" w:color="auto"/>
            <w:bottom w:val="none" w:sz="0" w:space="0" w:color="auto"/>
            <w:right w:val="none" w:sz="0" w:space="0" w:color="auto"/>
          </w:divBdr>
        </w:div>
        <w:div w:id="1940601138">
          <w:marLeft w:val="850"/>
          <w:marRight w:val="0"/>
          <w:marTop w:val="120"/>
          <w:marBottom w:val="0"/>
          <w:divBdr>
            <w:top w:val="none" w:sz="0" w:space="0" w:color="auto"/>
            <w:left w:val="none" w:sz="0" w:space="0" w:color="auto"/>
            <w:bottom w:val="none" w:sz="0" w:space="0" w:color="auto"/>
            <w:right w:val="none" w:sz="0" w:space="0" w:color="auto"/>
          </w:divBdr>
        </w:div>
        <w:div w:id="1512406370">
          <w:marLeft w:val="850"/>
          <w:marRight w:val="0"/>
          <w:marTop w:val="120"/>
          <w:marBottom w:val="0"/>
          <w:divBdr>
            <w:top w:val="none" w:sz="0" w:space="0" w:color="auto"/>
            <w:left w:val="none" w:sz="0" w:space="0" w:color="auto"/>
            <w:bottom w:val="none" w:sz="0" w:space="0" w:color="auto"/>
            <w:right w:val="none" w:sz="0" w:space="0" w:color="auto"/>
          </w:divBdr>
        </w:div>
      </w:divsChild>
    </w:div>
    <w:div w:id="966548730">
      <w:bodyDiv w:val="1"/>
      <w:marLeft w:val="0"/>
      <w:marRight w:val="0"/>
      <w:marTop w:val="0"/>
      <w:marBottom w:val="0"/>
      <w:divBdr>
        <w:top w:val="none" w:sz="0" w:space="0" w:color="auto"/>
        <w:left w:val="none" w:sz="0" w:space="0" w:color="auto"/>
        <w:bottom w:val="none" w:sz="0" w:space="0" w:color="auto"/>
        <w:right w:val="none" w:sz="0" w:space="0" w:color="auto"/>
      </w:divBdr>
      <w:divsChild>
        <w:div w:id="373434145">
          <w:marLeft w:val="576"/>
          <w:marRight w:val="0"/>
          <w:marTop w:val="120"/>
          <w:marBottom w:val="0"/>
          <w:divBdr>
            <w:top w:val="none" w:sz="0" w:space="0" w:color="auto"/>
            <w:left w:val="none" w:sz="0" w:space="0" w:color="auto"/>
            <w:bottom w:val="none" w:sz="0" w:space="0" w:color="auto"/>
            <w:right w:val="none" w:sz="0" w:space="0" w:color="auto"/>
          </w:divBdr>
        </w:div>
        <w:div w:id="1669559674">
          <w:marLeft w:val="576"/>
          <w:marRight w:val="0"/>
          <w:marTop w:val="120"/>
          <w:marBottom w:val="0"/>
          <w:divBdr>
            <w:top w:val="none" w:sz="0" w:space="0" w:color="auto"/>
            <w:left w:val="none" w:sz="0" w:space="0" w:color="auto"/>
            <w:bottom w:val="none" w:sz="0" w:space="0" w:color="auto"/>
            <w:right w:val="none" w:sz="0" w:space="0" w:color="auto"/>
          </w:divBdr>
        </w:div>
        <w:div w:id="520972890">
          <w:marLeft w:val="1008"/>
          <w:marRight w:val="0"/>
          <w:marTop w:val="110"/>
          <w:marBottom w:val="0"/>
          <w:divBdr>
            <w:top w:val="none" w:sz="0" w:space="0" w:color="auto"/>
            <w:left w:val="none" w:sz="0" w:space="0" w:color="auto"/>
            <w:bottom w:val="none" w:sz="0" w:space="0" w:color="auto"/>
            <w:right w:val="none" w:sz="0" w:space="0" w:color="auto"/>
          </w:divBdr>
        </w:div>
        <w:div w:id="1536385741">
          <w:marLeft w:val="1008"/>
          <w:marRight w:val="0"/>
          <w:marTop w:val="110"/>
          <w:marBottom w:val="0"/>
          <w:divBdr>
            <w:top w:val="none" w:sz="0" w:space="0" w:color="auto"/>
            <w:left w:val="none" w:sz="0" w:space="0" w:color="auto"/>
            <w:bottom w:val="none" w:sz="0" w:space="0" w:color="auto"/>
            <w:right w:val="none" w:sz="0" w:space="0" w:color="auto"/>
          </w:divBdr>
        </w:div>
        <w:div w:id="741609350">
          <w:marLeft w:val="1008"/>
          <w:marRight w:val="0"/>
          <w:marTop w:val="110"/>
          <w:marBottom w:val="0"/>
          <w:divBdr>
            <w:top w:val="none" w:sz="0" w:space="0" w:color="auto"/>
            <w:left w:val="none" w:sz="0" w:space="0" w:color="auto"/>
            <w:bottom w:val="none" w:sz="0" w:space="0" w:color="auto"/>
            <w:right w:val="none" w:sz="0" w:space="0" w:color="auto"/>
          </w:divBdr>
        </w:div>
        <w:div w:id="1706910476">
          <w:marLeft w:val="1008"/>
          <w:marRight w:val="0"/>
          <w:marTop w:val="110"/>
          <w:marBottom w:val="0"/>
          <w:divBdr>
            <w:top w:val="none" w:sz="0" w:space="0" w:color="auto"/>
            <w:left w:val="none" w:sz="0" w:space="0" w:color="auto"/>
            <w:bottom w:val="none" w:sz="0" w:space="0" w:color="auto"/>
            <w:right w:val="none" w:sz="0" w:space="0" w:color="auto"/>
          </w:divBdr>
        </w:div>
        <w:div w:id="1828671723">
          <w:marLeft w:val="1008"/>
          <w:marRight w:val="0"/>
          <w:marTop w:val="110"/>
          <w:marBottom w:val="0"/>
          <w:divBdr>
            <w:top w:val="none" w:sz="0" w:space="0" w:color="auto"/>
            <w:left w:val="none" w:sz="0" w:space="0" w:color="auto"/>
            <w:bottom w:val="none" w:sz="0" w:space="0" w:color="auto"/>
            <w:right w:val="none" w:sz="0" w:space="0" w:color="auto"/>
          </w:divBdr>
        </w:div>
        <w:div w:id="324824932">
          <w:marLeft w:val="1397"/>
          <w:marRight w:val="0"/>
          <w:marTop w:val="77"/>
          <w:marBottom w:val="0"/>
          <w:divBdr>
            <w:top w:val="none" w:sz="0" w:space="0" w:color="auto"/>
            <w:left w:val="none" w:sz="0" w:space="0" w:color="auto"/>
            <w:bottom w:val="none" w:sz="0" w:space="0" w:color="auto"/>
            <w:right w:val="none" w:sz="0" w:space="0" w:color="auto"/>
          </w:divBdr>
        </w:div>
        <w:div w:id="1489204907">
          <w:marLeft w:val="1397"/>
          <w:marRight w:val="0"/>
          <w:marTop w:val="77"/>
          <w:marBottom w:val="0"/>
          <w:divBdr>
            <w:top w:val="none" w:sz="0" w:space="0" w:color="auto"/>
            <w:left w:val="none" w:sz="0" w:space="0" w:color="auto"/>
            <w:bottom w:val="none" w:sz="0" w:space="0" w:color="auto"/>
            <w:right w:val="none" w:sz="0" w:space="0" w:color="auto"/>
          </w:divBdr>
        </w:div>
      </w:divsChild>
    </w:div>
    <w:div w:id="970792703">
      <w:bodyDiv w:val="1"/>
      <w:marLeft w:val="0"/>
      <w:marRight w:val="0"/>
      <w:marTop w:val="0"/>
      <w:marBottom w:val="0"/>
      <w:divBdr>
        <w:top w:val="none" w:sz="0" w:space="0" w:color="auto"/>
        <w:left w:val="none" w:sz="0" w:space="0" w:color="auto"/>
        <w:bottom w:val="none" w:sz="0" w:space="0" w:color="auto"/>
        <w:right w:val="none" w:sz="0" w:space="0" w:color="auto"/>
      </w:divBdr>
    </w:div>
    <w:div w:id="1099132370">
      <w:bodyDiv w:val="1"/>
      <w:marLeft w:val="0"/>
      <w:marRight w:val="0"/>
      <w:marTop w:val="0"/>
      <w:marBottom w:val="0"/>
      <w:divBdr>
        <w:top w:val="none" w:sz="0" w:space="0" w:color="auto"/>
        <w:left w:val="none" w:sz="0" w:space="0" w:color="auto"/>
        <w:bottom w:val="none" w:sz="0" w:space="0" w:color="auto"/>
        <w:right w:val="none" w:sz="0" w:space="0" w:color="auto"/>
      </w:divBdr>
      <w:divsChild>
        <w:div w:id="1393696869">
          <w:marLeft w:val="576"/>
          <w:marRight w:val="0"/>
          <w:marTop w:val="120"/>
          <w:marBottom w:val="0"/>
          <w:divBdr>
            <w:top w:val="none" w:sz="0" w:space="0" w:color="auto"/>
            <w:left w:val="none" w:sz="0" w:space="0" w:color="auto"/>
            <w:bottom w:val="none" w:sz="0" w:space="0" w:color="auto"/>
            <w:right w:val="none" w:sz="0" w:space="0" w:color="auto"/>
          </w:divBdr>
        </w:div>
        <w:div w:id="1649507944">
          <w:marLeft w:val="1008"/>
          <w:marRight w:val="0"/>
          <w:marTop w:val="110"/>
          <w:marBottom w:val="0"/>
          <w:divBdr>
            <w:top w:val="none" w:sz="0" w:space="0" w:color="auto"/>
            <w:left w:val="none" w:sz="0" w:space="0" w:color="auto"/>
            <w:bottom w:val="none" w:sz="0" w:space="0" w:color="auto"/>
            <w:right w:val="none" w:sz="0" w:space="0" w:color="auto"/>
          </w:divBdr>
        </w:div>
        <w:div w:id="1520315988">
          <w:marLeft w:val="1008"/>
          <w:marRight w:val="0"/>
          <w:marTop w:val="110"/>
          <w:marBottom w:val="0"/>
          <w:divBdr>
            <w:top w:val="none" w:sz="0" w:space="0" w:color="auto"/>
            <w:left w:val="none" w:sz="0" w:space="0" w:color="auto"/>
            <w:bottom w:val="none" w:sz="0" w:space="0" w:color="auto"/>
            <w:right w:val="none" w:sz="0" w:space="0" w:color="auto"/>
          </w:divBdr>
        </w:div>
        <w:div w:id="2069641558">
          <w:marLeft w:val="1008"/>
          <w:marRight w:val="0"/>
          <w:marTop w:val="110"/>
          <w:marBottom w:val="0"/>
          <w:divBdr>
            <w:top w:val="none" w:sz="0" w:space="0" w:color="auto"/>
            <w:left w:val="none" w:sz="0" w:space="0" w:color="auto"/>
            <w:bottom w:val="none" w:sz="0" w:space="0" w:color="auto"/>
            <w:right w:val="none" w:sz="0" w:space="0" w:color="auto"/>
          </w:divBdr>
        </w:div>
      </w:divsChild>
    </w:div>
    <w:div w:id="1107232499">
      <w:bodyDiv w:val="1"/>
      <w:marLeft w:val="0"/>
      <w:marRight w:val="0"/>
      <w:marTop w:val="0"/>
      <w:marBottom w:val="0"/>
      <w:divBdr>
        <w:top w:val="none" w:sz="0" w:space="0" w:color="auto"/>
        <w:left w:val="none" w:sz="0" w:space="0" w:color="auto"/>
        <w:bottom w:val="none" w:sz="0" w:space="0" w:color="auto"/>
        <w:right w:val="none" w:sz="0" w:space="0" w:color="auto"/>
      </w:divBdr>
    </w:div>
    <w:div w:id="1142383890">
      <w:bodyDiv w:val="1"/>
      <w:marLeft w:val="0"/>
      <w:marRight w:val="0"/>
      <w:marTop w:val="0"/>
      <w:marBottom w:val="0"/>
      <w:divBdr>
        <w:top w:val="none" w:sz="0" w:space="0" w:color="auto"/>
        <w:left w:val="none" w:sz="0" w:space="0" w:color="auto"/>
        <w:bottom w:val="none" w:sz="0" w:space="0" w:color="auto"/>
        <w:right w:val="none" w:sz="0" w:space="0" w:color="auto"/>
      </w:divBdr>
      <w:divsChild>
        <w:div w:id="1865048168">
          <w:marLeft w:val="994"/>
          <w:marRight w:val="0"/>
          <w:marTop w:val="120"/>
          <w:marBottom w:val="0"/>
          <w:divBdr>
            <w:top w:val="none" w:sz="0" w:space="0" w:color="auto"/>
            <w:left w:val="none" w:sz="0" w:space="0" w:color="auto"/>
            <w:bottom w:val="none" w:sz="0" w:space="0" w:color="auto"/>
            <w:right w:val="none" w:sz="0" w:space="0" w:color="auto"/>
          </w:divBdr>
        </w:div>
        <w:div w:id="755060019">
          <w:marLeft w:val="994"/>
          <w:marRight w:val="0"/>
          <w:marTop w:val="120"/>
          <w:marBottom w:val="0"/>
          <w:divBdr>
            <w:top w:val="none" w:sz="0" w:space="0" w:color="auto"/>
            <w:left w:val="none" w:sz="0" w:space="0" w:color="auto"/>
            <w:bottom w:val="none" w:sz="0" w:space="0" w:color="auto"/>
            <w:right w:val="none" w:sz="0" w:space="0" w:color="auto"/>
          </w:divBdr>
        </w:div>
      </w:divsChild>
    </w:div>
    <w:div w:id="1146580943">
      <w:bodyDiv w:val="1"/>
      <w:marLeft w:val="0"/>
      <w:marRight w:val="0"/>
      <w:marTop w:val="0"/>
      <w:marBottom w:val="0"/>
      <w:divBdr>
        <w:top w:val="none" w:sz="0" w:space="0" w:color="auto"/>
        <w:left w:val="none" w:sz="0" w:space="0" w:color="auto"/>
        <w:bottom w:val="none" w:sz="0" w:space="0" w:color="auto"/>
        <w:right w:val="none" w:sz="0" w:space="0" w:color="auto"/>
      </w:divBdr>
    </w:div>
    <w:div w:id="1181890561">
      <w:bodyDiv w:val="1"/>
      <w:marLeft w:val="0"/>
      <w:marRight w:val="0"/>
      <w:marTop w:val="0"/>
      <w:marBottom w:val="0"/>
      <w:divBdr>
        <w:top w:val="none" w:sz="0" w:space="0" w:color="auto"/>
        <w:left w:val="none" w:sz="0" w:space="0" w:color="auto"/>
        <w:bottom w:val="none" w:sz="0" w:space="0" w:color="auto"/>
        <w:right w:val="none" w:sz="0" w:space="0" w:color="auto"/>
      </w:divBdr>
      <w:divsChild>
        <w:div w:id="677540226">
          <w:marLeft w:val="576"/>
          <w:marRight w:val="0"/>
          <w:marTop w:val="120"/>
          <w:marBottom w:val="0"/>
          <w:divBdr>
            <w:top w:val="none" w:sz="0" w:space="0" w:color="auto"/>
            <w:left w:val="none" w:sz="0" w:space="0" w:color="auto"/>
            <w:bottom w:val="none" w:sz="0" w:space="0" w:color="auto"/>
            <w:right w:val="none" w:sz="0" w:space="0" w:color="auto"/>
          </w:divBdr>
        </w:div>
        <w:div w:id="1214349190">
          <w:marLeft w:val="1008"/>
          <w:marRight w:val="0"/>
          <w:marTop w:val="110"/>
          <w:marBottom w:val="0"/>
          <w:divBdr>
            <w:top w:val="none" w:sz="0" w:space="0" w:color="auto"/>
            <w:left w:val="none" w:sz="0" w:space="0" w:color="auto"/>
            <w:bottom w:val="none" w:sz="0" w:space="0" w:color="auto"/>
            <w:right w:val="none" w:sz="0" w:space="0" w:color="auto"/>
          </w:divBdr>
        </w:div>
        <w:div w:id="1037387552">
          <w:marLeft w:val="1008"/>
          <w:marRight w:val="0"/>
          <w:marTop w:val="110"/>
          <w:marBottom w:val="0"/>
          <w:divBdr>
            <w:top w:val="none" w:sz="0" w:space="0" w:color="auto"/>
            <w:left w:val="none" w:sz="0" w:space="0" w:color="auto"/>
            <w:bottom w:val="none" w:sz="0" w:space="0" w:color="auto"/>
            <w:right w:val="none" w:sz="0" w:space="0" w:color="auto"/>
          </w:divBdr>
        </w:div>
      </w:divsChild>
    </w:div>
    <w:div w:id="1286734716">
      <w:bodyDiv w:val="1"/>
      <w:marLeft w:val="0"/>
      <w:marRight w:val="0"/>
      <w:marTop w:val="0"/>
      <w:marBottom w:val="0"/>
      <w:divBdr>
        <w:top w:val="none" w:sz="0" w:space="0" w:color="auto"/>
        <w:left w:val="none" w:sz="0" w:space="0" w:color="auto"/>
        <w:bottom w:val="none" w:sz="0" w:space="0" w:color="auto"/>
        <w:right w:val="none" w:sz="0" w:space="0" w:color="auto"/>
      </w:divBdr>
    </w:div>
    <w:div w:id="1417284858">
      <w:bodyDiv w:val="1"/>
      <w:marLeft w:val="0"/>
      <w:marRight w:val="0"/>
      <w:marTop w:val="0"/>
      <w:marBottom w:val="0"/>
      <w:divBdr>
        <w:top w:val="none" w:sz="0" w:space="0" w:color="auto"/>
        <w:left w:val="none" w:sz="0" w:space="0" w:color="auto"/>
        <w:bottom w:val="none" w:sz="0" w:space="0" w:color="auto"/>
        <w:right w:val="none" w:sz="0" w:space="0" w:color="auto"/>
      </w:divBdr>
      <w:divsChild>
        <w:div w:id="1808742120">
          <w:marLeft w:val="1008"/>
          <w:marRight w:val="0"/>
          <w:marTop w:val="110"/>
          <w:marBottom w:val="0"/>
          <w:divBdr>
            <w:top w:val="none" w:sz="0" w:space="0" w:color="auto"/>
            <w:left w:val="none" w:sz="0" w:space="0" w:color="auto"/>
            <w:bottom w:val="none" w:sz="0" w:space="0" w:color="auto"/>
            <w:right w:val="none" w:sz="0" w:space="0" w:color="auto"/>
          </w:divBdr>
        </w:div>
        <w:div w:id="1349258550">
          <w:marLeft w:val="1008"/>
          <w:marRight w:val="0"/>
          <w:marTop w:val="110"/>
          <w:marBottom w:val="0"/>
          <w:divBdr>
            <w:top w:val="none" w:sz="0" w:space="0" w:color="auto"/>
            <w:left w:val="none" w:sz="0" w:space="0" w:color="auto"/>
            <w:bottom w:val="none" w:sz="0" w:space="0" w:color="auto"/>
            <w:right w:val="none" w:sz="0" w:space="0" w:color="auto"/>
          </w:divBdr>
        </w:div>
      </w:divsChild>
    </w:div>
    <w:div w:id="1499231555">
      <w:bodyDiv w:val="1"/>
      <w:marLeft w:val="0"/>
      <w:marRight w:val="0"/>
      <w:marTop w:val="0"/>
      <w:marBottom w:val="0"/>
      <w:divBdr>
        <w:top w:val="none" w:sz="0" w:space="0" w:color="auto"/>
        <w:left w:val="none" w:sz="0" w:space="0" w:color="auto"/>
        <w:bottom w:val="none" w:sz="0" w:space="0" w:color="auto"/>
        <w:right w:val="none" w:sz="0" w:space="0" w:color="auto"/>
      </w:divBdr>
      <w:divsChild>
        <w:div w:id="521437117">
          <w:marLeft w:val="576"/>
          <w:marRight w:val="0"/>
          <w:marTop w:val="120"/>
          <w:marBottom w:val="0"/>
          <w:divBdr>
            <w:top w:val="none" w:sz="0" w:space="0" w:color="auto"/>
            <w:left w:val="none" w:sz="0" w:space="0" w:color="auto"/>
            <w:bottom w:val="none" w:sz="0" w:space="0" w:color="auto"/>
            <w:right w:val="none" w:sz="0" w:space="0" w:color="auto"/>
          </w:divBdr>
        </w:div>
        <w:div w:id="584802714">
          <w:marLeft w:val="1008"/>
          <w:marRight w:val="0"/>
          <w:marTop w:val="110"/>
          <w:marBottom w:val="0"/>
          <w:divBdr>
            <w:top w:val="none" w:sz="0" w:space="0" w:color="auto"/>
            <w:left w:val="none" w:sz="0" w:space="0" w:color="auto"/>
            <w:bottom w:val="none" w:sz="0" w:space="0" w:color="auto"/>
            <w:right w:val="none" w:sz="0" w:space="0" w:color="auto"/>
          </w:divBdr>
        </w:div>
        <w:div w:id="1167866196">
          <w:marLeft w:val="1008"/>
          <w:marRight w:val="0"/>
          <w:marTop w:val="110"/>
          <w:marBottom w:val="0"/>
          <w:divBdr>
            <w:top w:val="none" w:sz="0" w:space="0" w:color="auto"/>
            <w:left w:val="none" w:sz="0" w:space="0" w:color="auto"/>
            <w:bottom w:val="none" w:sz="0" w:space="0" w:color="auto"/>
            <w:right w:val="none" w:sz="0" w:space="0" w:color="auto"/>
          </w:divBdr>
        </w:div>
        <w:div w:id="364911094">
          <w:marLeft w:val="576"/>
          <w:marRight w:val="0"/>
          <w:marTop w:val="120"/>
          <w:marBottom w:val="0"/>
          <w:divBdr>
            <w:top w:val="none" w:sz="0" w:space="0" w:color="auto"/>
            <w:left w:val="none" w:sz="0" w:space="0" w:color="auto"/>
            <w:bottom w:val="none" w:sz="0" w:space="0" w:color="auto"/>
            <w:right w:val="none" w:sz="0" w:space="0" w:color="auto"/>
          </w:divBdr>
        </w:div>
        <w:div w:id="1660572543">
          <w:marLeft w:val="1008"/>
          <w:marRight w:val="0"/>
          <w:marTop w:val="110"/>
          <w:marBottom w:val="0"/>
          <w:divBdr>
            <w:top w:val="none" w:sz="0" w:space="0" w:color="auto"/>
            <w:left w:val="none" w:sz="0" w:space="0" w:color="auto"/>
            <w:bottom w:val="none" w:sz="0" w:space="0" w:color="auto"/>
            <w:right w:val="none" w:sz="0" w:space="0" w:color="auto"/>
          </w:divBdr>
        </w:div>
      </w:divsChild>
    </w:div>
    <w:div w:id="1625966409">
      <w:bodyDiv w:val="1"/>
      <w:marLeft w:val="0"/>
      <w:marRight w:val="0"/>
      <w:marTop w:val="0"/>
      <w:marBottom w:val="0"/>
      <w:divBdr>
        <w:top w:val="none" w:sz="0" w:space="0" w:color="auto"/>
        <w:left w:val="none" w:sz="0" w:space="0" w:color="auto"/>
        <w:bottom w:val="none" w:sz="0" w:space="0" w:color="auto"/>
        <w:right w:val="none" w:sz="0" w:space="0" w:color="auto"/>
      </w:divBdr>
    </w:div>
    <w:div w:id="1688867484">
      <w:bodyDiv w:val="1"/>
      <w:marLeft w:val="0"/>
      <w:marRight w:val="0"/>
      <w:marTop w:val="0"/>
      <w:marBottom w:val="0"/>
      <w:divBdr>
        <w:top w:val="none" w:sz="0" w:space="0" w:color="auto"/>
        <w:left w:val="none" w:sz="0" w:space="0" w:color="auto"/>
        <w:bottom w:val="none" w:sz="0" w:space="0" w:color="auto"/>
        <w:right w:val="none" w:sz="0" w:space="0" w:color="auto"/>
      </w:divBdr>
      <w:divsChild>
        <w:div w:id="602760574">
          <w:marLeft w:val="576"/>
          <w:marRight w:val="0"/>
          <w:marTop w:val="120"/>
          <w:marBottom w:val="0"/>
          <w:divBdr>
            <w:top w:val="none" w:sz="0" w:space="0" w:color="auto"/>
            <w:left w:val="none" w:sz="0" w:space="0" w:color="auto"/>
            <w:bottom w:val="none" w:sz="0" w:space="0" w:color="auto"/>
            <w:right w:val="none" w:sz="0" w:space="0" w:color="auto"/>
          </w:divBdr>
        </w:div>
        <w:div w:id="1316564865">
          <w:marLeft w:val="576"/>
          <w:marRight w:val="0"/>
          <w:marTop w:val="120"/>
          <w:marBottom w:val="0"/>
          <w:divBdr>
            <w:top w:val="none" w:sz="0" w:space="0" w:color="auto"/>
            <w:left w:val="none" w:sz="0" w:space="0" w:color="auto"/>
            <w:bottom w:val="none" w:sz="0" w:space="0" w:color="auto"/>
            <w:right w:val="none" w:sz="0" w:space="0" w:color="auto"/>
          </w:divBdr>
        </w:div>
        <w:div w:id="2008248774">
          <w:marLeft w:val="576"/>
          <w:marRight w:val="0"/>
          <w:marTop w:val="120"/>
          <w:marBottom w:val="0"/>
          <w:divBdr>
            <w:top w:val="none" w:sz="0" w:space="0" w:color="auto"/>
            <w:left w:val="none" w:sz="0" w:space="0" w:color="auto"/>
            <w:bottom w:val="none" w:sz="0" w:space="0" w:color="auto"/>
            <w:right w:val="none" w:sz="0" w:space="0" w:color="auto"/>
          </w:divBdr>
        </w:div>
      </w:divsChild>
    </w:div>
    <w:div w:id="1743216653">
      <w:bodyDiv w:val="1"/>
      <w:marLeft w:val="0"/>
      <w:marRight w:val="0"/>
      <w:marTop w:val="0"/>
      <w:marBottom w:val="0"/>
      <w:divBdr>
        <w:top w:val="none" w:sz="0" w:space="0" w:color="auto"/>
        <w:left w:val="none" w:sz="0" w:space="0" w:color="auto"/>
        <w:bottom w:val="none" w:sz="0" w:space="0" w:color="auto"/>
        <w:right w:val="none" w:sz="0" w:space="0" w:color="auto"/>
      </w:divBdr>
      <w:divsChild>
        <w:div w:id="2054844170">
          <w:marLeft w:val="576"/>
          <w:marRight w:val="0"/>
          <w:marTop w:val="120"/>
          <w:marBottom w:val="0"/>
          <w:divBdr>
            <w:top w:val="none" w:sz="0" w:space="0" w:color="auto"/>
            <w:left w:val="none" w:sz="0" w:space="0" w:color="auto"/>
            <w:bottom w:val="none" w:sz="0" w:space="0" w:color="auto"/>
            <w:right w:val="none" w:sz="0" w:space="0" w:color="auto"/>
          </w:divBdr>
        </w:div>
        <w:div w:id="651712748">
          <w:marLeft w:val="576"/>
          <w:marRight w:val="0"/>
          <w:marTop w:val="120"/>
          <w:marBottom w:val="0"/>
          <w:divBdr>
            <w:top w:val="none" w:sz="0" w:space="0" w:color="auto"/>
            <w:left w:val="none" w:sz="0" w:space="0" w:color="auto"/>
            <w:bottom w:val="none" w:sz="0" w:space="0" w:color="auto"/>
            <w:right w:val="none" w:sz="0" w:space="0" w:color="auto"/>
          </w:divBdr>
        </w:div>
        <w:div w:id="1379205620">
          <w:marLeft w:val="576"/>
          <w:marRight w:val="0"/>
          <w:marTop w:val="120"/>
          <w:marBottom w:val="0"/>
          <w:divBdr>
            <w:top w:val="none" w:sz="0" w:space="0" w:color="auto"/>
            <w:left w:val="none" w:sz="0" w:space="0" w:color="auto"/>
            <w:bottom w:val="none" w:sz="0" w:space="0" w:color="auto"/>
            <w:right w:val="none" w:sz="0" w:space="0" w:color="auto"/>
          </w:divBdr>
        </w:div>
      </w:divsChild>
    </w:div>
    <w:div w:id="1804493596">
      <w:bodyDiv w:val="1"/>
      <w:marLeft w:val="0"/>
      <w:marRight w:val="0"/>
      <w:marTop w:val="0"/>
      <w:marBottom w:val="0"/>
      <w:divBdr>
        <w:top w:val="none" w:sz="0" w:space="0" w:color="auto"/>
        <w:left w:val="none" w:sz="0" w:space="0" w:color="auto"/>
        <w:bottom w:val="none" w:sz="0" w:space="0" w:color="auto"/>
        <w:right w:val="none" w:sz="0" w:space="0" w:color="auto"/>
      </w:divBdr>
      <w:divsChild>
        <w:div w:id="808473992">
          <w:marLeft w:val="0"/>
          <w:marRight w:val="0"/>
          <w:marTop w:val="0"/>
          <w:marBottom w:val="0"/>
          <w:divBdr>
            <w:top w:val="none" w:sz="0" w:space="0" w:color="auto"/>
            <w:left w:val="none" w:sz="0" w:space="0" w:color="auto"/>
            <w:bottom w:val="none" w:sz="0" w:space="0" w:color="auto"/>
            <w:right w:val="none" w:sz="0" w:space="0" w:color="auto"/>
          </w:divBdr>
          <w:divsChild>
            <w:div w:id="591934545">
              <w:marLeft w:val="0"/>
              <w:marRight w:val="0"/>
              <w:marTop w:val="0"/>
              <w:marBottom w:val="0"/>
              <w:divBdr>
                <w:top w:val="none" w:sz="0" w:space="0" w:color="auto"/>
                <w:left w:val="none" w:sz="0" w:space="0" w:color="auto"/>
                <w:bottom w:val="none" w:sz="0" w:space="0" w:color="auto"/>
                <w:right w:val="none" w:sz="0" w:space="0" w:color="auto"/>
              </w:divBdr>
              <w:divsChild>
                <w:div w:id="1135028801">
                  <w:marLeft w:val="0"/>
                  <w:marRight w:val="0"/>
                  <w:marTop w:val="0"/>
                  <w:marBottom w:val="0"/>
                  <w:divBdr>
                    <w:top w:val="none" w:sz="0" w:space="0" w:color="auto"/>
                    <w:left w:val="none" w:sz="0" w:space="0" w:color="auto"/>
                    <w:bottom w:val="none" w:sz="0" w:space="0" w:color="auto"/>
                    <w:right w:val="none" w:sz="0" w:space="0" w:color="auto"/>
                  </w:divBdr>
                  <w:divsChild>
                    <w:div w:id="3735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5877">
      <w:bodyDiv w:val="1"/>
      <w:marLeft w:val="0"/>
      <w:marRight w:val="0"/>
      <w:marTop w:val="0"/>
      <w:marBottom w:val="0"/>
      <w:divBdr>
        <w:top w:val="none" w:sz="0" w:space="0" w:color="auto"/>
        <w:left w:val="none" w:sz="0" w:space="0" w:color="auto"/>
        <w:bottom w:val="none" w:sz="0" w:space="0" w:color="auto"/>
        <w:right w:val="none" w:sz="0" w:space="0" w:color="auto"/>
      </w:divBdr>
      <w:divsChild>
        <w:div w:id="653946939">
          <w:marLeft w:val="576"/>
          <w:marRight w:val="0"/>
          <w:marTop w:val="120"/>
          <w:marBottom w:val="0"/>
          <w:divBdr>
            <w:top w:val="none" w:sz="0" w:space="0" w:color="auto"/>
            <w:left w:val="none" w:sz="0" w:space="0" w:color="auto"/>
            <w:bottom w:val="none" w:sz="0" w:space="0" w:color="auto"/>
            <w:right w:val="none" w:sz="0" w:space="0" w:color="auto"/>
          </w:divBdr>
        </w:div>
        <w:div w:id="1401320545">
          <w:marLeft w:val="576"/>
          <w:marRight w:val="0"/>
          <w:marTop w:val="120"/>
          <w:marBottom w:val="0"/>
          <w:divBdr>
            <w:top w:val="none" w:sz="0" w:space="0" w:color="auto"/>
            <w:left w:val="none" w:sz="0" w:space="0" w:color="auto"/>
            <w:bottom w:val="none" w:sz="0" w:space="0" w:color="auto"/>
            <w:right w:val="none" w:sz="0" w:space="0" w:color="auto"/>
          </w:divBdr>
        </w:div>
        <w:div w:id="76902548">
          <w:marLeft w:val="576"/>
          <w:marRight w:val="0"/>
          <w:marTop w:val="120"/>
          <w:marBottom w:val="0"/>
          <w:divBdr>
            <w:top w:val="none" w:sz="0" w:space="0" w:color="auto"/>
            <w:left w:val="none" w:sz="0" w:space="0" w:color="auto"/>
            <w:bottom w:val="none" w:sz="0" w:space="0" w:color="auto"/>
            <w:right w:val="none" w:sz="0" w:space="0" w:color="auto"/>
          </w:divBdr>
        </w:div>
        <w:div w:id="1272517117">
          <w:marLeft w:val="576"/>
          <w:marRight w:val="0"/>
          <w:marTop w:val="120"/>
          <w:marBottom w:val="0"/>
          <w:divBdr>
            <w:top w:val="none" w:sz="0" w:space="0" w:color="auto"/>
            <w:left w:val="none" w:sz="0" w:space="0" w:color="auto"/>
            <w:bottom w:val="none" w:sz="0" w:space="0" w:color="auto"/>
            <w:right w:val="none" w:sz="0" w:space="0" w:color="auto"/>
          </w:divBdr>
        </w:div>
        <w:div w:id="648169840">
          <w:marLeft w:val="576"/>
          <w:marRight w:val="0"/>
          <w:marTop w:val="120"/>
          <w:marBottom w:val="0"/>
          <w:divBdr>
            <w:top w:val="none" w:sz="0" w:space="0" w:color="auto"/>
            <w:left w:val="none" w:sz="0" w:space="0" w:color="auto"/>
            <w:bottom w:val="none" w:sz="0" w:space="0" w:color="auto"/>
            <w:right w:val="none" w:sz="0" w:space="0" w:color="auto"/>
          </w:divBdr>
        </w:div>
      </w:divsChild>
    </w:div>
    <w:div w:id="1840316522">
      <w:bodyDiv w:val="1"/>
      <w:marLeft w:val="0"/>
      <w:marRight w:val="0"/>
      <w:marTop w:val="0"/>
      <w:marBottom w:val="0"/>
      <w:divBdr>
        <w:top w:val="none" w:sz="0" w:space="0" w:color="auto"/>
        <w:left w:val="none" w:sz="0" w:space="0" w:color="auto"/>
        <w:bottom w:val="none" w:sz="0" w:space="0" w:color="auto"/>
        <w:right w:val="none" w:sz="0" w:space="0" w:color="auto"/>
      </w:divBdr>
    </w:div>
    <w:div w:id="1841850601">
      <w:bodyDiv w:val="1"/>
      <w:marLeft w:val="0"/>
      <w:marRight w:val="0"/>
      <w:marTop w:val="0"/>
      <w:marBottom w:val="0"/>
      <w:divBdr>
        <w:top w:val="none" w:sz="0" w:space="0" w:color="auto"/>
        <w:left w:val="none" w:sz="0" w:space="0" w:color="auto"/>
        <w:bottom w:val="none" w:sz="0" w:space="0" w:color="auto"/>
        <w:right w:val="none" w:sz="0" w:space="0" w:color="auto"/>
      </w:divBdr>
    </w:div>
    <w:div w:id="2124572952">
      <w:bodyDiv w:val="1"/>
      <w:marLeft w:val="0"/>
      <w:marRight w:val="0"/>
      <w:marTop w:val="0"/>
      <w:marBottom w:val="0"/>
      <w:divBdr>
        <w:top w:val="none" w:sz="0" w:space="0" w:color="auto"/>
        <w:left w:val="none" w:sz="0" w:space="0" w:color="auto"/>
        <w:bottom w:val="none" w:sz="0" w:space="0" w:color="auto"/>
        <w:right w:val="none" w:sz="0" w:space="0" w:color="auto"/>
      </w:divBdr>
      <w:divsChild>
        <w:div w:id="1678267053">
          <w:marLeft w:val="576"/>
          <w:marRight w:val="0"/>
          <w:marTop w:val="120"/>
          <w:marBottom w:val="0"/>
          <w:divBdr>
            <w:top w:val="none" w:sz="0" w:space="0" w:color="auto"/>
            <w:left w:val="none" w:sz="0" w:space="0" w:color="auto"/>
            <w:bottom w:val="none" w:sz="0" w:space="0" w:color="auto"/>
            <w:right w:val="none" w:sz="0" w:space="0" w:color="auto"/>
          </w:divBdr>
        </w:div>
        <w:div w:id="1302926417">
          <w:marLeft w:val="576"/>
          <w:marRight w:val="0"/>
          <w:marTop w:val="120"/>
          <w:marBottom w:val="0"/>
          <w:divBdr>
            <w:top w:val="none" w:sz="0" w:space="0" w:color="auto"/>
            <w:left w:val="none" w:sz="0" w:space="0" w:color="auto"/>
            <w:bottom w:val="none" w:sz="0" w:space="0" w:color="auto"/>
            <w:right w:val="none" w:sz="0" w:space="0" w:color="auto"/>
          </w:divBdr>
        </w:div>
        <w:div w:id="67071910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klir@vurv.cz" TargetMode="External"/><Relationship Id="rId40" Type="http://schemas.openxmlformats.org/officeDocument/2006/relationships/chart" Target="charts/chart2.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oleObject" Target="embeddings/oleObject1.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package" Target="embeddings/Microsoft_PowerPoint_Slide1.sldx"/><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1.xml"/><Relationship Id="rId41" Type="http://schemas.openxmlformats.org/officeDocument/2006/relationships/hyperlink" Target="mailto:bkunde@immucell.com"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kumenty\&#268;l&#225;nky\2017\Eko%202017\Graf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kumenty\Monitoring%20n&#225;klad&#367;-ml&#233;ko\TK_ZS_8_8_2017\Graf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4124272596497"/>
          <c:y val="3.396167632530616E-2"/>
          <c:w val="0.76898459144806697"/>
          <c:h val="0.79073450494347697"/>
        </c:manualLayout>
      </c:layout>
      <c:lineChart>
        <c:grouping val="standard"/>
        <c:varyColors val="0"/>
        <c:ser>
          <c:idx val="2"/>
          <c:order val="0"/>
          <c:tx>
            <c:strRef>
              <c:f>data_grafy!$B$18</c:f>
              <c:strCache>
                <c:ptCount val="1"/>
                <c:pt idx="0">
                  <c:v>náklady celkem</c:v>
                </c:pt>
              </c:strCache>
            </c:strRef>
          </c:tx>
          <c:spPr>
            <a:ln w="47625">
              <a:solidFill>
                <a:srgbClr val="FF0000"/>
              </a:solidFill>
            </a:ln>
          </c:spPr>
          <c:marker>
            <c:symbol val="triangle"/>
            <c:size val="7"/>
            <c:spPr>
              <a:solidFill>
                <a:srgbClr val="C00000"/>
              </a:solidFill>
              <a:ln>
                <a:solidFill>
                  <a:schemeClr val="accent2">
                    <a:lumMod val="75000"/>
                  </a:schemeClr>
                </a:solidFill>
              </a:ln>
            </c:spPr>
          </c:marker>
          <c:dLbls>
            <c:dLbl>
              <c:idx val="4"/>
              <c:layout>
                <c:manualLayout>
                  <c:x val="-4.1523184071193521E-2"/>
                  <c:y val="-2.1720211441884879E-2"/>
                </c:manualLayout>
              </c:layout>
              <c:dLblPos val="r"/>
              <c:showLegendKey val="0"/>
              <c:showVal val="1"/>
              <c:showCatName val="0"/>
              <c:showSerName val="0"/>
              <c:showPercent val="0"/>
              <c:showBubbleSize val="0"/>
            </c:dLbl>
            <c:spPr>
              <a:solidFill>
                <a:schemeClr val="bg1"/>
              </a:solidFill>
              <a:ln w="22225">
                <a:solidFill>
                  <a:srgbClr val="FF0000"/>
                </a:solidFill>
              </a:ln>
            </c:spPr>
            <c:txPr>
              <a:bodyPr/>
              <a:lstStyle/>
              <a:p>
                <a:pPr>
                  <a:defRPr>
                    <a:solidFill>
                      <a:srgbClr val="FF0000"/>
                    </a:solidFill>
                  </a:defRPr>
                </a:pPr>
                <a:endParaRPr lang="cs-CZ"/>
              </a:p>
            </c:txPr>
            <c:dLblPos val="t"/>
            <c:showLegendKey val="0"/>
            <c:showVal val="1"/>
            <c:showCatName val="0"/>
            <c:showSerName val="0"/>
            <c:showPercent val="0"/>
            <c:showBubbleSize val="0"/>
            <c:showLeaderLines val="0"/>
          </c:dLbls>
          <c:cat>
            <c:strRef>
              <c:f>data_grafy!$C$15:$G$15</c:f>
              <c:strCache>
                <c:ptCount val="5"/>
                <c:pt idx="0">
                  <c:v>pod 7</c:v>
                </c:pt>
                <c:pt idx="1">
                  <c:v>7 až 8</c:v>
                </c:pt>
                <c:pt idx="2">
                  <c:v>8 až 9</c:v>
                </c:pt>
                <c:pt idx="3">
                  <c:v>9 až 10</c:v>
                </c:pt>
                <c:pt idx="4">
                  <c:v>nad 10</c:v>
                </c:pt>
              </c:strCache>
            </c:strRef>
          </c:cat>
          <c:val>
            <c:numRef>
              <c:f>data_grafy!$C$18:$G$18</c:f>
              <c:numCache>
                <c:formatCode>0.00</c:formatCode>
                <c:ptCount val="5"/>
                <c:pt idx="0">
                  <c:v>9.4776815958608243</c:v>
                </c:pt>
                <c:pt idx="1">
                  <c:v>9.2598268522473361</c:v>
                </c:pt>
                <c:pt idx="2">
                  <c:v>8.9321534304700556</c:v>
                </c:pt>
                <c:pt idx="3">
                  <c:v>8.3981744695590415</c:v>
                </c:pt>
                <c:pt idx="4">
                  <c:v>8.014622643302669</c:v>
                </c:pt>
              </c:numCache>
            </c:numRef>
          </c:val>
          <c:smooth val="0"/>
        </c:ser>
        <c:dLbls>
          <c:showLegendKey val="0"/>
          <c:showVal val="0"/>
          <c:showCatName val="0"/>
          <c:showSerName val="0"/>
          <c:showPercent val="0"/>
          <c:showBubbleSize val="0"/>
        </c:dLbls>
        <c:marker val="1"/>
        <c:smooth val="0"/>
        <c:axId val="142179712"/>
        <c:axId val="147276160"/>
      </c:lineChart>
      <c:lineChart>
        <c:grouping val="standard"/>
        <c:varyColors val="0"/>
        <c:ser>
          <c:idx val="3"/>
          <c:order val="1"/>
          <c:tx>
            <c:strRef>
              <c:f>data_grafy!$B$19</c:f>
              <c:strCache>
                <c:ptCount val="1"/>
                <c:pt idx="0">
                  <c:v>zisk bez dotací</c:v>
                </c:pt>
              </c:strCache>
            </c:strRef>
          </c:tx>
          <c:spPr>
            <a:ln w="44450">
              <a:solidFill>
                <a:srgbClr val="0070C0"/>
              </a:solidFill>
            </a:ln>
          </c:spPr>
          <c:marker>
            <c:spPr>
              <a:ln>
                <a:solidFill>
                  <a:srgbClr val="0070C0"/>
                </a:solidFill>
              </a:ln>
            </c:spPr>
          </c:marker>
          <c:dLbls>
            <c:dLbl>
              <c:idx val="4"/>
              <c:layout>
                <c:manualLayout>
                  <c:x val="-4.0453163558589689E-2"/>
                  <c:y val="-3.1957197992493587E-2"/>
                </c:manualLayout>
              </c:layout>
              <c:dLblPos val="r"/>
              <c:showLegendKey val="0"/>
              <c:showVal val="1"/>
              <c:showCatName val="0"/>
              <c:showSerName val="0"/>
              <c:showPercent val="0"/>
              <c:showBubbleSize val="0"/>
            </c:dLbl>
            <c:spPr>
              <a:solidFill>
                <a:schemeClr val="bg1"/>
              </a:solidFill>
              <a:ln w="28575">
                <a:solidFill>
                  <a:srgbClr val="0070C0"/>
                </a:solidFill>
              </a:ln>
            </c:spPr>
            <c:txPr>
              <a:bodyPr/>
              <a:lstStyle/>
              <a:p>
                <a:pPr>
                  <a:defRPr>
                    <a:solidFill>
                      <a:srgbClr val="0070C0"/>
                    </a:solidFill>
                  </a:defRPr>
                </a:pPr>
                <a:endParaRPr lang="cs-CZ"/>
              </a:p>
            </c:txPr>
            <c:dLblPos val="b"/>
            <c:showLegendKey val="0"/>
            <c:showVal val="1"/>
            <c:showCatName val="0"/>
            <c:showSerName val="0"/>
            <c:showPercent val="0"/>
            <c:showBubbleSize val="0"/>
            <c:showLeaderLines val="0"/>
          </c:dLbls>
          <c:cat>
            <c:strRef>
              <c:f>data_grafy!$C$15:$G$15</c:f>
              <c:strCache>
                <c:ptCount val="5"/>
                <c:pt idx="0">
                  <c:v>pod 7</c:v>
                </c:pt>
                <c:pt idx="1">
                  <c:v>7 až 8</c:v>
                </c:pt>
                <c:pt idx="2">
                  <c:v>8 až 9</c:v>
                </c:pt>
                <c:pt idx="3">
                  <c:v>9 až 10</c:v>
                </c:pt>
                <c:pt idx="4">
                  <c:v>nad 10</c:v>
                </c:pt>
              </c:strCache>
            </c:strRef>
          </c:cat>
          <c:val>
            <c:numRef>
              <c:f>data_grafy!$C$19:$G$19</c:f>
              <c:numCache>
                <c:formatCode>0.00</c:formatCode>
                <c:ptCount val="5"/>
                <c:pt idx="0">
                  <c:v>-1.9906266157271872</c:v>
                </c:pt>
                <c:pt idx="1">
                  <c:v>-1.8562134801586405</c:v>
                </c:pt>
                <c:pt idx="2">
                  <c:v>-1.7111856139010846</c:v>
                </c:pt>
                <c:pt idx="3">
                  <c:v>-1.2778398899832444</c:v>
                </c:pt>
                <c:pt idx="4">
                  <c:v>-0.97195069937682277</c:v>
                </c:pt>
              </c:numCache>
            </c:numRef>
          </c:val>
          <c:smooth val="0"/>
        </c:ser>
        <c:dLbls>
          <c:showLegendKey val="0"/>
          <c:showVal val="0"/>
          <c:showCatName val="0"/>
          <c:showSerName val="0"/>
          <c:showPercent val="0"/>
          <c:showBubbleSize val="0"/>
        </c:dLbls>
        <c:marker val="1"/>
        <c:smooth val="0"/>
        <c:axId val="147279232"/>
        <c:axId val="157589504"/>
      </c:lineChart>
      <c:catAx>
        <c:axId val="142179712"/>
        <c:scaling>
          <c:orientation val="minMax"/>
        </c:scaling>
        <c:delete val="0"/>
        <c:axPos val="b"/>
        <c:majorGridlines>
          <c:spPr>
            <a:ln>
              <a:solidFill>
                <a:srgbClr val="92D050">
                  <a:alpha val="62000"/>
                </a:srgbClr>
              </a:solidFill>
            </a:ln>
          </c:spPr>
        </c:majorGridlines>
        <c:title>
          <c:tx>
            <c:rich>
              <a:bodyPr/>
              <a:lstStyle/>
              <a:p>
                <a:pPr>
                  <a:defRPr/>
                </a:pPr>
                <a:r>
                  <a:rPr lang="cs-CZ"/>
                  <a:t>tržní produkce (tis. l/krávu/rok)</a:t>
                </a:r>
              </a:p>
            </c:rich>
          </c:tx>
          <c:layout>
            <c:manualLayout>
              <c:xMode val="edge"/>
              <c:yMode val="edge"/>
              <c:x val="0.31240980977904642"/>
              <c:y val="0.93076742524919753"/>
            </c:manualLayout>
          </c:layout>
          <c:overlay val="0"/>
        </c:title>
        <c:numFmt formatCode="General" sourceLinked="1"/>
        <c:majorTickMark val="out"/>
        <c:minorTickMark val="none"/>
        <c:tickLblPos val="nextTo"/>
        <c:txPr>
          <a:bodyPr rot="0" vert="horz"/>
          <a:lstStyle/>
          <a:p>
            <a:pPr>
              <a:defRPr/>
            </a:pPr>
            <a:endParaRPr lang="cs-CZ"/>
          </a:p>
        </c:txPr>
        <c:crossAx val="147276160"/>
        <c:crosses val="autoZero"/>
        <c:auto val="1"/>
        <c:lblAlgn val="ctr"/>
        <c:lblOffset val="100"/>
        <c:noMultiLvlLbl val="0"/>
      </c:catAx>
      <c:valAx>
        <c:axId val="147276160"/>
        <c:scaling>
          <c:orientation val="minMax"/>
          <c:max val="10"/>
          <c:min val="4"/>
        </c:scaling>
        <c:delete val="0"/>
        <c:axPos val="l"/>
        <c:majorGridlines>
          <c:spPr>
            <a:ln>
              <a:solidFill>
                <a:srgbClr val="92D050">
                  <a:alpha val="39000"/>
                </a:srgbClr>
              </a:solidFill>
            </a:ln>
          </c:spPr>
        </c:majorGridlines>
        <c:title>
          <c:tx>
            <c:rich>
              <a:bodyPr/>
              <a:lstStyle/>
              <a:p>
                <a:pPr>
                  <a:defRPr>
                    <a:solidFill>
                      <a:srgbClr val="FF0000"/>
                    </a:solidFill>
                  </a:defRPr>
                </a:pPr>
                <a:r>
                  <a:rPr lang="cs-CZ">
                    <a:solidFill>
                      <a:srgbClr val="FF0000"/>
                    </a:solidFill>
                  </a:rPr>
                  <a:t>náklady (Kč/l)</a:t>
                </a:r>
              </a:p>
            </c:rich>
          </c:tx>
          <c:layout>
            <c:manualLayout>
              <c:xMode val="edge"/>
              <c:yMode val="edge"/>
              <c:x val="1.11290181414313E-4"/>
              <c:y val="0.27819553865995567"/>
            </c:manualLayout>
          </c:layout>
          <c:overlay val="0"/>
        </c:title>
        <c:numFmt formatCode="0.0" sourceLinked="0"/>
        <c:majorTickMark val="out"/>
        <c:minorTickMark val="none"/>
        <c:tickLblPos val="nextTo"/>
        <c:txPr>
          <a:bodyPr rot="0" vert="horz"/>
          <a:lstStyle/>
          <a:p>
            <a:pPr>
              <a:defRPr>
                <a:solidFill>
                  <a:srgbClr val="FF0000"/>
                </a:solidFill>
              </a:defRPr>
            </a:pPr>
            <a:endParaRPr lang="cs-CZ"/>
          </a:p>
        </c:txPr>
        <c:crossAx val="142179712"/>
        <c:crosses val="autoZero"/>
        <c:crossBetween val="between"/>
        <c:majorUnit val="1.5"/>
      </c:valAx>
      <c:catAx>
        <c:axId val="147279232"/>
        <c:scaling>
          <c:orientation val="minMax"/>
        </c:scaling>
        <c:delete val="1"/>
        <c:axPos val="b"/>
        <c:majorTickMark val="out"/>
        <c:minorTickMark val="none"/>
        <c:tickLblPos val="nextTo"/>
        <c:crossAx val="157589504"/>
        <c:crosses val="autoZero"/>
        <c:auto val="1"/>
        <c:lblAlgn val="ctr"/>
        <c:lblOffset val="100"/>
        <c:noMultiLvlLbl val="0"/>
      </c:catAx>
      <c:valAx>
        <c:axId val="157589504"/>
        <c:scaling>
          <c:orientation val="minMax"/>
          <c:max val="-0.5"/>
        </c:scaling>
        <c:delete val="0"/>
        <c:axPos val="r"/>
        <c:title>
          <c:tx>
            <c:rich>
              <a:bodyPr/>
              <a:lstStyle/>
              <a:p>
                <a:pPr>
                  <a:defRPr>
                    <a:solidFill>
                      <a:srgbClr val="0070C0"/>
                    </a:solidFill>
                  </a:defRPr>
                </a:pPr>
                <a:r>
                  <a:rPr lang="cs-CZ">
                    <a:solidFill>
                      <a:srgbClr val="0070C0"/>
                    </a:solidFill>
                  </a:rPr>
                  <a:t>zisk bez dotací (Kč(/l)</a:t>
                </a:r>
              </a:p>
            </c:rich>
          </c:tx>
          <c:layout>
            <c:manualLayout>
              <c:xMode val="edge"/>
              <c:yMode val="edge"/>
              <c:x val="0.93731810028540585"/>
              <c:y val="0.24646433488755712"/>
            </c:manualLayout>
          </c:layout>
          <c:overlay val="0"/>
        </c:title>
        <c:numFmt formatCode="0.0" sourceLinked="0"/>
        <c:majorTickMark val="out"/>
        <c:minorTickMark val="none"/>
        <c:tickLblPos val="nextTo"/>
        <c:txPr>
          <a:bodyPr rot="0" vert="horz"/>
          <a:lstStyle/>
          <a:p>
            <a:pPr>
              <a:defRPr>
                <a:solidFill>
                  <a:srgbClr val="0070C0"/>
                </a:solidFill>
              </a:defRPr>
            </a:pPr>
            <a:endParaRPr lang="cs-CZ"/>
          </a:p>
        </c:txPr>
        <c:crossAx val="147279232"/>
        <c:crosses val="max"/>
        <c:crossBetween val="between"/>
        <c:majorUnit val="0.5"/>
      </c:valAx>
      <c:spPr>
        <a:solidFill>
          <a:schemeClr val="accent5">
            <a:lumMod val="40000"/>
            <a:lumOff val="60000"/>
            <a:alpha val="69000"/>
          </a:schemeClr>
        </a:solidFill>
        <a:ln w="22225">
          <a:solidFill>
            <a:schemeClr val="accent4">
              <a:lumMod val="75000"/>
            </a:schemeClr>
          </a:solidFill>
        </a:ln>
      </c:spPr>
    </c:plotArea>
    <c:legend>
      <c:legendPos val="r"/>
      <c:legendEntry>
        <c:idx val="0"/>
        <c:txPr>
          <a:bodyPr/>
          <a:lstStyle/>
          <a:p>
            <a:pPr>
              <a:defRPr>
                <a:solidFill>
                  <a:srgbClr val="FF0000"/>
                </a:solidFill>
              </a:defRPr>
            </a:pPr>
            <a:endParaRPr lang="cs-CZ"/>
          </a:p>
        </c:txPr>
      </c:legendEntry>
      <c:legendEntry>
        <c:idx val="1"/>
        <c:txPr>
          <a:bodyPr/>
          <a:lstStyle/>
          <a:p>
            <a:pPr>
              <a:defRPr>
                <a:solidFill>
                  <a:srgbClr val="0070C0"/>
                </a:solidFill>
              </a:defRPr>
            </a:pPr>
            <a:endParaRPr lang="cs-CZ"/>
          </a:p>
        </c:txPr>
      </c:legendEntry>
      <c:layout>
        <c:manualLayout>
          <c:xMode val="edge"/>
          <c:yMode val="edge"/>
          <c:x val="0.1529726927847746"/>
          <c:y val="0.2759043278605115"/>
          <c:w val="0.26584362883496765"/>
          <c:h val="0.12941033926987178"/>
        </c:manualLayout>
      </c:layout>
      <c:overlay val="0"/>
      <c:spPr>
        <a:solidFill>
          <a:schemeClr val="bg1"/>
        </a:solidFill>
        <a:ln w="22225">
          <a:solidFill>
            <a:schemeClr val="accent2">
              <a:lumMod val="75000"/>
            </a:schemeClr>
          </a:solidFill>
        </a:ln>
      </c:spPr>
    </c:legend>
    <c:plotVisOnly val="1"/>
    <c:dispBlanksAs val="gap"/>
    <c:showDLblsOverMax val="0"/>
  </c:chart>
  <c:spPr>
    <a:solidFill>
      <a:srgbClr val="FFFF00">
        <a:alpha val="33000"/>
      </a:srgbClr>
    </a:solidFill>
    <a:ln w="28575">
      <a:solidFill>
        <a:schemeClr val="accent4">
          <a:lumMod val="75000"/>
        </a:schemeClr>
      </a:solidFill>
    </a:ln>
  </c:spPr>
  <c:txPr>
    <a:bodyPr/>
    <a:lstStyle/>
    <a:p>
      <a:pPr>
        <a:defRPr sz="1100" b="1" i="0" u="none" strike="noStrike" baseline="0">
          <a:solidFill>
            <a:srgbClr val="000000"/>
          </a:solidFill>
          <a:latin typeface="Times New Roman"/>
          <a:ea typeface="Times New Roman"/>
          <a:cs typeface="Times New Roman"/>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821584801899756E-2"/>
          <c:y val="2.6184398634084192E-2"/>
          <c:w val="0.90819128183624731"/>
          <c:h val="0.89031727293097052"/>
        </c:manualLayout>
      </c:layout>
      <c:barChart>
        <c:barDir val="col"/>
        <c:grouping val="clustered"/>
        <c:varyColors val="0"/>
        <c:ser>
          <c:idx val="0"/>
          <c:order val="0"/>
          <c:tx>
            <c:strRef>
              <c:f>List2!$B$5</c:f>
              <c:strCache>
                <c:ptCount val="1"/>
                <c:pt idx="0">
                  <c:v>náklady po odpočtu</c:v>
                </c:pt>
              </c:strCache>
            </c:strRef>
          </c:tx>
          <c:spPr>
            <a:solidFill>
              <a:srgbClr val="0070C0"/>
            </a:solidFill>
          </c:spPr>
          <c:invertIfNegative val="0"/>
          <c:dPt>
            <c:idx val="11"/>
            <c:invertIfNegative val="0"/>
            <c:bubble3D val="0"/>
            <c:spPr>
              <a:solidFill>
                <a:srgbClr val="00B050"/>
              </a:solidFill>
            </c:spPr>
          </c:dPt>
          <c:dLbls>
            <c:dLbl>
              <c:idx val="1"/>
              <c:layout>
                <c:manualLayout>
                  <c:x val="0"/>
                  <c:y val="3.3838382791746516E-2"/>
                </c:manualLayout>
              </c:layout>
              <c:showLegendKey val="0"/>
              <c:showVal val="1"/>
              <c:showCatName val="0"/>
              <c:showSerName val="0"/>
              <c:showPercent val="0"/>
              <c:showBubbleSize val="0"/>
            </c:dLbl>
            <c:dLbl>
              <c:idx val="11"/>
              <c:spPr>
                <a:solidFill>
                  <a:schemeClr val="bg1"/>
                </a:solidFill>
                <a:ln w="22225">
                  <a:solidFill>
                    <a:srgbClr val="00B050"/>
                  </a:solidFill>
                </a:ln>
              </c:spPr>
              <c:txPr>
                <a:bodyPr/>
                <a:lstStyle/>
                <a:p>
                  <a:pPr>
                    <a:defRPr sz="1100">
                      <a:solidFill>
                        <a:srgbClr val="00B050"/>
                      </a:solidFill>
                    </a:defRPr>
                  </a:pPr>
                  <a:endParaRPr lang="cs-CZ"/>
                </a:p>
              </c:txPr>
              <c:showLegendKey val="0"/>
              <c:showVal val="1"/>
              <c:showCatName val="0"/>
              <c:showSerName val="0"/>
              <c:showPercent val="0"/>
              <c:showBubbleSize val="0"/>
            </c:dLbl>
            <c:spPr>
              <a:solidFill>
                <a:schemeClr val="bg1"/>
              </a:solidFill>
              <a:ln w="22225">
                <a:solidFill>
                  <a:srgbClr val="0070C0"/>
                </a:solidFill>
              </a:ln>
            </c:spPr>
            <c:txPr>
              <a:bodyPr/>
              <a:lstStyle/>
              <a:p>
                <a:pPr>
                  <a:defRPr sz="1100"/>
                </a:pPr>
                <a:endParaRPr lang="cs-CZ"/>
              </a:p>
            </c:txPr>
            <c:showLegendKey val="0"/>
            <c:showVal val="1"/>
            <c:showCatName val="0"/>
            <c:showSerName val="0"/>
            <c:showPercent val="0"/>
            <c:showBubbleSize val="0"/>
            <c:showLeaderLines val="0"/>
          </c:dLbls>
          <c:cat>
            <c:numRef>
              <c:f>List2!$D$3:$O$3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List2!$D$5:$O$5</c:f>
              <c:numCache>
                <c:formatCode>General</c:formatCode>
                <c:ptCount val="12"/>
                <c:pt idx="0">
                  <c:v>8.6300000000000008</c:v>
                </c:pt>
                <c:pt idx="1">
                  <c:v>7.81</c:v>
                </c:pt>
                <c:pt idx="2">
                  <c:v>8.49</c:v>
                </c:pt>
                <c:pt idx="3">
                  <c:v>8.1199999999999992</c:v>
                </c:pt>
                <c:pt idx="4">
                  <c:v>8.26</c:v>
                </c:pt>
                <c:pt idx="5">
                  <c:v>8.52</c:v>
                </c:pt>
                <c:pt idx="6">
                  <c:v>8.73</c:v>
                </c:pt>
                <c:pt idx="7">
                  <c:v>8.74</c:v>
                </c:pt>
                <c:pt idx="8">
                  <c:v>8.75</c:v>
                </c:pt>
                <c:pt idx="9">
                  <c:v>8.52</c:v>
                </c:pt>
                <c:pt idx="10">
                  <c:v>8.41</c:v>
                </c:pt>
                <c:pt idx="11">
                  <c:v>8.41</c:v>
                </c:pt>
              </c:numCache>
            </c:numRef>
          </c:val>
        </c:ser>
        <c:dLbls>
          <c:showLegendKey val="0"/>
          <c:showVal val="0"/>
          <c:showCatName val="0"/>
          <c:showSerName val="0"/>
          <c:showPercent val="0"/>
          <c:showBubbleSize val="0"/>
        </c:dLbls>
        <c:gapWidth val="40"/>
        <c:axId val="237114112"/>
        <c:axId val="237116032"/>
      </c:barChart>
      <c:lineChart>
        <c:grouping val="standard"/>
        <c:varyColors val="0"/>
        <c:ser>
          <c:idx val="1"/>
          <c:order val="1"/>
          <c:tx>
            <c:strRef>
              <c:f>List2!$B$6</c:f>
              <c:strCache>
                <c:ptCount val="1"/>
                <c:pt idx="0">
                  <c:v> tržby za mléko</c:v>
                </c:pt>
              </c:strCache>
            </c:strRef>
          </c:tx>
          <c:spPr>
            <a:ln w="34925">
              <a:solidFill>
                <a:srgbClr val="FF0000"/>
              </a:solidFill>
            </a:ln>
          </c:spPr>
          <c:marker>
            <c:spPr>
              <a:solidFill>
                <a:srgbClr val="FF0000"/>
              </a:solidFill>
              <a:ln>
                <a:solidFill>
                  <a:srgbClr val="FF0000"/>
                </a:solidFill>
              </a:ln>
            </c:spPr>
          </c:marker>
          <c:dLbls>
            <c:dLbl>
              <c:idx val="3"/>
              <c:layout>
                <c:manualLayout>
                  <c:x val="-3.1902869087718916E-2"/>
                  <c:y val="6.3785193292880144E-3"/>
                </c:manualLayout>
              </c:layout>
              <c:dLblPos val="r"/>
              <c:showLegendKey val="0"/>
              <c:showVal val="1"/>
              <c:showCatName val="0"/>
              <c:showSerName val="0"/>
              <c:showPercent val="0"/>
              <c:showBubbleSize val="0"/>
            </c:dLbl>
            <c:dLbl>
              <c:idx val="8"/>
              <c:layout>
                <c:manualLayout>
                  <c:x val="-3.3736890178961469E-2"/>
                  <c:y val="-4.2161482457519141E-2"/>
                </c:manualLayout>
              </c:layout>
              <c:dLblPos val="r"/>
              <c:showLegendKey val="0"/>
              <c:showVal val="1"/>
              <c:showCatName val="0"/>
              <c:showSerName val="0"/>
              <c:showPercent val="0"/>
              <c:showBubbleSize val="0"/>
            </c:dLbl>
            <c:dLbl>
              <c:idx val="11"/>
              <c:layout>
                <c:manualLayout>
                  <c:x val="-3.0519050175860533E-2"/>
                  <c:y val="3.3902152515173048E-2"/>
                </c:manualLayout>
              </c:layout>
              <c:tx>
                <c:rich>
                  <a:bodyPr/>
                  <a:lstStyle/>
                  <a:p>
                    <a:r>
                      <a:rPr lang="cs-CZ" sz="1100" b="1" i="1">
                        <a:solidFill>
                          <a:srgbClr val="FF0000"/>
                        </a:solidFill>
                      </a:rPr>
                      <a:t>8,31</a:t>
                    </a:r>
                    <a:endParaRPr lang="en-US" b="1"/>
                  </a:p>
                </c:rich>
              </c:tx>
              <c:dLblPos val="r"/>
              <c:showLegendKey val="0"/>
              <c:showVal val="1"/>
              <c:showCatName val="0"/>
              <c:showSerName val="0"/>
              <c:showPercent val="0"/>
              <c:showBubbleSize val="0"/>
            </c:dLbl>
            <c:numFmt formatCode="#,##0.00" sourceLinked="0"/>
            <c:spPr>
              <a:solidFill>
                <a:schemeClr val="bg1"/>
              </a:solidFill>
              <a:ln w="19050">
                <a:solidFill>
                  <a:srgbClr val="FF0000"/>
                </a:solidFill>
              </a:ln>
            </c:spPr>
            <c:txPr>
              <a:bodyPr/>
              <a:lstStyle/>
              <a:p>
                <a:pPr>
                  <a:defRPr sz="1100">
                    <a:solidFill>
                      <a:srgbClr val="FF0000"/>
                    </a:solidFill>
                  </a:defRPr>
                </a:pPr>
                <a:endParaRPr lang="cs-CZ"/>
              </a:p>
            </c:txPr>
            <c:dLblPos val="b"/>
            <c:showLegendKey val="0"/>
            <c:showVal val="1"/>
            <c:showCatName val="0"/>
            <c:showSerName val="0"/>
            <c:showPercent val="0"/>
            <c:showBubbleSize val="0"/>
            <c:showLeaderLines val="0"/>
          </c:dLbls>
          <c:val>
            <c:numRef>
              <c:f>List2!$D$6:$O$6</c:f>
              <c:numCache>
                <c:formatCode>General</c:formatCode>
                <c:ptCount val="12"/>
                <c:pt idx="0">
                  <c:v>7.86</c:v>
                </c:pt>
                <c:pt idx="1">
                  <c:v>8.44</c:v>
                </c:pt>
                <c:pt idx="2">
                  <c:v>8.5</c:v>
                </c:pt>
                <c:pt idx="3">
                  <c:v>6.25</c:v>
                </c:pt>
                <c:pt idx="4">
                  <c:v>7.53</c:v>
                </c:pt>
                <c:pt idx="5">
                  <c:v>8.3699999999999992</c:v>
                </c:pt>
                <c:pt idx="6">
                  <c:v>7.77</c:v>
                </c:pt>
                <c:pt idx="7">
                  <c:v>8.6300000000000008</c:v>
                </c:pt>
                <c:pt idx="8">
                  <c:v>9.51</c:v>
                </c:pt>
                <c:pt idx="9">
                  <c:v>7.79</c:v>
                </c:pt>
                <c:pt idx="10">
                  <c:v>6.8</c:v>
                </c:pt>
                <c:pt idx="11">
                  <c:v>8.3000000000000007</c:v>
                </c:pt>
              </c:numCache>
            </c:numRef>
          </c:val>
          <c:smooth val="0"/>
        </c:ser>
        <c:dLbls>
          <c:showLegendKey val="0"/>
          <c:showVal val="0"/>
          <c:showCatName val="0"/>
          <c:showSerName val="0"/>
          <c:showPercent val="0"/>
          <c:showBubbleSize val="0"/>
        </c:dLbls>
        <c:marker val="1"/>
        <c:smooth val="0"/>
        <c:axId val="237114112"/>
        <c:axId val="237116032"/>
      </c:lineChart>
      <c:catAx>
        <c:axId val="237114112"/>
        <c:scaling>
          <c:orientation val="minMax"/>
        </c:scaling>
        <c:delete val="0"/>
        <c:axPos val="b"/>
        <c:majorGridlines/>
        <c:numFmt formatCode="General" sourceLinked="1"/>
        <c:majorTickMark val="out"/>
        <c:minorTickMark val="none"/>
        <c:tickLblPos val="nextTo"/>
        <c:txPr>
          <a:bodyPr/>
          <a:lstStyle/>
          <a:p>
            <a:pPr>
              <a:defRPr sz="1100">
                <a:solidFill>
                  <a:sysClr val="windowText" lastClr="000000"/>
                </a:solidFill>
              </a:defRPr>
            </a:pPr>
            <a:endParaRPr lang="cs-CZ"/>
          </a:p>
        </c:txPr>
        <c:crossAx val="237116032"/>
        <c:crosses val="autoZero"/>
        <c:auto val="1"/>
        <c:lblAlgn val="ctr"/>
        <c:lblOffset val="100"/>
        <c:noMultiLvlLbl val="0"/>
      </c:catAx>
      <c:valAx>
        <c:axId val="237116032"/>
        <c:scaling>
          <c:orientation val="minMax"/>
          <c:max val="10"/>
          <c:min val="6"/>
        </c:scaling>
        <c:delete val="0"/>
        <c:axPos val="l"/>
        <c:majorGridlines>
          <c:spPr>
            <a:ln w="6350">
              <a:solidFill>
                <a:schemeClr val="accent3">
                  <a:lumMod val="75000"/>
                  <a:alpha val="56000"/>
                </a:schemeClr>
              </a:solidFill>
            </a:ln>
          </c:spPr>
        </c:majorGridlines>
        <c:numFmt formatCode="0" sourceLinked="0"/>
        <c:majorTickMark val="out"/>
        <c:minorTickMark val="none"/>
        <c:tickLblPos val="nextTo"/>
        <c:txPr>
          <a:bodyPr/>
          <a:lstStyle/>
          <a:p>
            <a:pPr>
              <a:defRPr sz="1100">
                <a:solidFill>
                  <a:sysClr val="windowText" lastClr="000000"/>
                </a:solidFill>
              </a:defRPr>
            </a:pPr>
            <a:endParaRPr lang="cs-CZ"/>
          </a:p>
        </c:txPr>
        <c:crossAx val="237114112"/>
        <c:crosses val="autoZero"/>
        <c:crossBetween val="between"/>
        <c:majorUnit val="1"/>
      </c:valAx>
      <c:spPr>
        <a:solidFill>
          <a:schemeClr val="accent6">
            <a:lumMod val="40000"/>
            <a:lumOff val="60000"/>
          </a:schemeClr>
        </a:solidFill>
        <a:ln w="25400">
          <a:solidFill>
            <a:schemeClr val="accent3">
              <a:lumMod val="75000"/>
            </a:schemeClr>
          </a:solidFill>
        </a:ln>
      </c:spPr>
    </c:plotArea>
    <c:legend>
      <c:legendPos val="r"/>
      <c:legendEntry>
        <c:idx val="1"/>
        <c:txPr>
          <a:bodyPr/>
          <a:lstStyle/>
          <a:p>
            <a:pPr>
              <a:defRPr>
                <a:solidFill>
                  <a:srgbClr val="FF0000"/>
                </a:solidFill>
              </a:defRPr>
            </a:pPr>
            <a:endParaRPr lang="cs-CZ"/>
          </a:p>
        </c:txPr>
      </c:legendEntry>
      <c:layout>
        <c:manualLayout>
          <c:xMode val="edge"/>
          <c:yMode val="edge"/>
          <c:x val="0.16228188746830158"/>
          <c:y val="6.5225887215650258E-2"/>
          <c:w val="0.28553857159352047"/>
          <c:h val="0.14146615648704158"/>
        </c:manualLayout>
      </c:layout>
      <c:overlay val="0"/>
      <c:spPr>
        <a:solidFill>
          <a:schemeClr val="bg1"/>
        </a:solidFill>
        <a:ln w="22225">
          <a:solidFill>
            <a:schemeClr val="accent5">
              <a:lumMod val="75000"/>
            </a:schemeClr>
          </a:solidFill>
        </a:ln>
      </c:spPr>
    </c:legend>
    <c:plotVisOnly val="1"/>
    <c:dispBlanksAs val="gap"/>
    <c:showDLblsOverMax val="0"/>
  </c:chart>
  <c:spPr>
    <a:solidFill>
      <a:srgbClr val="FFC000"/>
    </a:solidFill>
    <a:ln w="25400">
      <a:solidFill>
        <a:schemeClr val="accent6">
          <a:lumMod val="75000"/>
        </a:schemeClr>
      </a:solidFill>
    </a:ln>
  </c:spPr>
  <c:txPr>
    <a:bodyPr/>
    <a:lstStyle/>
    <a:p>
      <a:pPr>
        <a:defRPr sz="1200" b="1">
          <a:solidFill>
            <a:srgbClr val="0070C0"/>
          </a:solidFill>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37D5-1B96-461D-85FB-852E8355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8270</Words>
  <Characters>48798</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Beckova Ilona</dc:creator>
  <cp:lastModifiedBy>Bečková Ilona</cp:lastModifiedBy>
  <cp:revision>2</cp:revision>
  <cp:lastPrinted>2017-11-08T10:02:00Z</cp:lastPrinted>
  <dcterms:created xsi:type="dcterms:W3CDTF">2017-11-08T15:24:00Z</dcterms:created>
  <dcterms:modified xsi:type="dcterms:W3CDTF">2017-11-08T15:24:00Z</dcterms:modified>
</cp:coreProperties>
</file>